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117FD77B"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D75188">
        <w:rPr>
          <w:rFonts w:eastAsia="SimSun" w:cs="Arial"/>
          <w:b/>
          <w:noProof/>
          <w:sz w:val="22"/>
          <w:szCs w:val="22"/>
          <w:lang w:eastAsia="zh-CN"/>
        </w:rPr>
        <w:t>7</w:t>
      </w:r>
      <w:r w:rsidR="00085261" w:rsidRPr="00085261">
        <w:rPr>
          <w:rFonts w:eastAsia="SimSun" w:cs="Arial"/>
          <w:b/>
          <w:noProof/>
          <w:sz w:val="22"/>
          <w:szCs w:val="22"/>
          <w:lang w:eastAsia="zh-CN"/>
        </w:rPr>
        <w:t xml:space="preserve"> </w:t>
      </w:r>
      <w:r w:rsidR="003D52C5">
        <w:rPr>
          <w:rFonts w:eastAsia="SimSun" w:cs="Arial"/>
          <w:b/>
          <w:noProof/>
          <w:sz w:val="22"/>
          <w:szCs w:val="22"/>
          <w:lang w:eastAsia="zh-CN"/>
        </w:rPr>
        <w:t>electronic</w:t>
      </w:r>
      <w:r w:rsidR="005150DC" w:rsidRPr="00F13442">
        <w:rPr>
          <w:rFonts w:eastAsia="SimSun" w:cs="Arial"/>
          <w:b/>
          <w:noProof/>
          <w:sz w:val="22"/>
          <w:szCs w:val="22"/>
          <w:lang w:eastAsia="zh-CN"/>
        </w:rPr>
        <w:tab/>
      </w:r>
      <w:r w:rsidR="005A47FD" w:rsidRPr="005A47FD">
        <w:rPr>
          <w:rFonts w:eastAsia="SimSun" w:cs="Arial"/>
          <w:b/>
          <w:noProof/>
          <w:sz w:val="22"/>
          <w:szCs w:val="22"/>
        </w:rPr>
        <w:t>R2-2203507</w:t>
      </w:r>
      <w:r w:rsidR="00DF7646" w:rsidRPr="00F13442">
        <w:rPr>
          <w:rFonts w:eastAsia="SimSun" w:cs="Arial"/>
          <w:b/>
          <w:noProof/>
          <w:sz w:val="22"/>
          <w:szCs w:val="22"/>
        </w:rPr>
        <w:tab/>
      </w:r>
    </w:p>
    <w:p w14:paraId="08B9D8C7" w14:textId="07CE0EA4" w:rsidR="000E09A0" w:rsidRPr="00F13442" w:rsidRDefault="00432D70" w:rsidP="002D2831">
      <w:pPr>
        <w:pStyle w:val="CRCoverPage"/>
        <w:tabs>
          <w:tab w:val="right" w:pos="9000"/>
        </w:tabs>
        <w:spacing w:after="0"/>
        <w:rPr>
          <w:rFonts w:eastAsia="SimSun" w:cs="Arial"/>
          <w:b/>
          <w:noProof/>
          <w:sz w:val="22"/>
          <w:szCs w:val="22"/>
          <w:lang w:eastAsia="zh-CN"/>
        </w:rPr>
      </w:pPr>
      <w:r w:rsidRPr="00432D70">
        <w:rPr>
          <w:rFonts w:eastAsia="SimSun" w:cs="Arial"/>
          <w:b/>
          <w:noProof/>
          <w:sz w:val="22"/>
          <w:szCs w:val="22"/>
          <w:lang w:eastAsia="zh-CN"/>
        </w:rPr>
        <w:t xml:space="preserve">Online, </w:t>
      </w:r>
      <w:bookmarkStart w:id="2" w:name="_Hlk85736418"/>
      <w:r w:rsidR="00D75188">
        <w:rPr>
          <w:rFonts w:eastAsia="SimSun" w:cs="Arial"/>
          <w:b/>
          <w:noProof/>
          <w:sz w:val="22"/>
          <w:szCs w:val="22"/>
        </w:rPr>
        <w:t>February</w:t>
      </w:r>
      <w:r w:rsidR="009E47AF" w:rsidRPr="00ED688E">
        <w:rPr>
          <w:rFonts w:eastAsia="SimSun" w:cs="Arial"/>
          <w:b/>
          <w:noProof/>
          <w:sz w:val="22"/>
          <w:szCs w:val="22"/>
          <w:lang w:eastAsia="zh-CN"/>
        </w:rPr>
        <w:t>, 202</w:t>
      </w:r>
      <w:bookmarkEnd w:id="2"/>
      <w:r w:rsidR="00D75188">
        <w:rPr>
          <w:rFonts w:eastAsia="SimSun" w:cs="Arial"/>
          <w:b/>
          <w:noProof/>
          <w:sz w:val="22"/>
          <w:szCs w:val="22"/>
          <w:lang w:eastAsia="zh-CN"/>
        </w:rPr>
        <w:t>2</w:t>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71A19C7"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B71B36" w:rsidRPr="00B71B36">
        <w:rPr>
          <w:rFonts w:ascii="Arial" w:eastAsia="Times New Roman" w:hAnsi="Arial" w:cs="Arial"/>
          <w:bCs/>
        </w:rPr>
        <w:t>Header Rewriting for</w:t>
      </w:r>
      <w:r w:rsidR="00B71B36">
        <w:rPr>
          <w:rFonts w:ascii="Arial" w:eastAsia="Times New Roman" w:hAnsi="Arial" w:cs="Arial"/>
          <w:b/>
        </w:rPr>
        <w:t xml:space="preserve"> </w:t>
      </w:r>
      <w:r w:rsidR="00B71B36">
        <w:rPr>
          <w:rFonts w:ascii="Arial" w:eastAsia="Times New Roman" w:hAnsi="Arial" w:cs="Arial"/>
          <w:bCs/>
        </w:rPr>
        <w:t>Inter-to-intra topology re-routing</w:t>
      </w:r>
      <w:r w:rsidR="00C028C2">
        <w:rPr>
          <w:rFonts w:ascii="Arial" w:eastAsia="Times New Roman" w:hAnsi="Arial" w:cs="Arial"/>
          <w:bCs/>
        </w:rPr>
        <w:t xml:space="preserve"> </w:t>
      </w:r>
    </w:p>
    <w:p w14:paraId="16173DC2" w14:textId="73F7B731"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00085261">
        <w:rPr>
          <w:rFonts w:ascii="Arial" w:eastAsia="Times New Roman" w:hAnsi="Arial" w:cs="Arial"/>
        </w:rPr>
        <w:t>8.4.</w:t>
      </w:r>
      <w:r w:rsidR="004D287C">
        <w:rPr>
          <w:rFonts w:ascii="Arial" w:eastAsia="Times New Roman" w:hAnsi="Arial" w:cs="Arial"/>
        </w:rPr>
        <w:t>3</w:t>
      </w:r>
      <w:r w:rsidR="00D75188">
        <w:rPr>
          <w:rFonts w:ascii="Arial" w:eastAsia="Times New Roman" w:hAnsi="Arial" w:cs="Arial"/>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14F51724" w14:textId="4A73BA37" w:rsidR="00922C77" w:rsidRPr="00583D88" w:rsidRDefault="00997F4A" w:rsidP="00583D88">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278958D9" w14:textId="46C4B95C" w:rsidR="00B55F8C" w:rsidRDefault="00D75188" w:rsidP="00B55F8C">
      <w:pPr>
        <w:spacing w:after="120"/>
        <w:jc w:val="both"/>
        <w:rPr>
          <w:rFonts w:eastAsiaTheme="minorEastAsia"/>
          <w:sz w:val="20"/>
          <w:lang w:eastAsia="zh-CN"/>
        </w:rPr>
      </w:pPr>
      <w:r>
        <w:rPr>
          <w:rFonts w:eastAsiaTheme="minorEastAsia"/>
          <w:sz w:val="20"/>
          <w:lang w:eastAsia="zh-CN"/>
        </w:rPr>
        <w:t>I</w:t>
      </w:r>
      <w:r w:rsidR="00B55F8C">
        <w:rPr>
          <w:rFonts w:eastAsiaTheme="minorEastAsia"/>
          <w:sz w:val="20"/>
          <w:lang w:eastAsia="zh-CN"/>
        </w:rPr>
        <w:t>n RAN</w:t>
      </w:r>
      <w:r w:rsidR="006B5C33">
        <w:rPr>
          <w:rFonts w:eastAsiaTheme="minorEastAsia"/>
          <w:sz w:val="20"/>
          <w:lang w:eastAsia="zh-CN"/>
        </w:rPr>
        <w:t>2</w:t>
      </w:r>
      <w:r w:rsidR="00B55F8C">
        <w:rPr>
          <w:rFonts w:eastAsiaTheme="minorEastAsia"/>
          <w:sz w:val="20"/>
          <w:lang w:eastAsia="zh-CN"/>
        </w:rPr>
        <w:t>#11</w:t>
      </w:r>
      <w:r>
        <w:rPr>
          <w:rFonts w:eastAsiaTheme="minorEastAsia"/>
          <w:sz w:val="20"/>
          <w:lang w:eastAsia="zh-CN"/>
        </w:rPr>
        <w:t>6</w:t>
      </w:r>
      <w:r w:rsidR="007B79F9">
        <w:rPr>
          <w:rFonts w:eastAsiaTheme="minorEastAsia"/>
          <w:sz w:val="20"/>
          <w:lang w:eastAsia="zh-CN"/>
        </w:rPr>
        <w:t>bis-</w:t>
      </w:r>
      <w:r w:rsidR="006B5C33">
        <w:rPr>
          <w:rFonts w:eastAsiaTheme="minorEastAsia"/>
          <w:sz w:val="20"/>
          <w:lang w:eastAsia="zh-CN"/>
        </w:rPr>
        <w:t>e</w:t>
      </w:r>
      <w:r>
        <w:rPr>
          <w:rFonts w:eastAsiaTheme="minorEastAsia"/>
          <w:sz w:val="20"/>
          <w:lang w:eastAsia="zh-CN"/>
        </w:rPr>
        <w:t xml:space="preserve"> </w:t>
      </w:r>
      <w:r w:rsidR="00B55F8C">
        <w:rPr>
          <w:rFonts w:eastAsiaTheme="minorEastAsia"/>
          <w:sz w:val="20"/>
          <w:lang w:eastAsia="zh-CN"/>
        </w:rPr>
        <w:t>RAN</w:t>
      </w:r>
      <w:r w:rsidR="006B5C33">
        <w:rPr>
          <w:rFonts w:eastAsiaTheme="minorEastAsia"/>
          <w:sz w:val="20"/>
          <w:lang w:eastAsia="zh-CN"/>
        </w:rPr>
        <w:t>2</w:t>
      </w:r>
      <w:r w:rsidR="00B55F8C">
        <w:rPr>
          <w:rFonts w:eastAsiaTheme="minorEastAsia"/>
          <w:sz w:val="20"/>
          <w:lang w:eastAsia="zh-CN"/>
        </w:rPr>
        <w:t xml:space="preserve"> </w:t>
      </w:r>
      <w:r>
        <w:rPr>
          <w:rFonts w:eastAsiaTheme="minorEastAsia"/>
          <w:sz w:val="20"/>
          <w:lang w:eastAsia="zh-CN"/>
        </w:rPr>
        <w:t xml:space="preserve">reached the following </w:t>
      </w:r>
      <w:r w:rsidR="00B55F8C">
        <w:rPr>
          <w:rFonts w:eastAsiaTheme="minorEastAsia"/>
          <w:sz w:val="20"/>
          <w:lang w:eastAsia="zh-CN"/>
        </w:rPr>
        <w:t>agree</w:t>
      </w:r>
      <w:r>
        <w:rPr>
          <w:rFonts w:eastAsiaTheme="minorEastAsia"/>
          <w:sz w:val="20"/>
          <w:lang w:eastAsia="zh-CN"/>
        </w:rPr>
        <w:t>ments regarding BAP routing</w:t>
      </w:r>
      <w:r w:rsidR="00B55F8C">
        <w:rPr>
          <w:rFonts w:eastAsiaTheme="minorEastAsia"/>
          <w:sz w:val="20"/>
          <w:lang w:eastAsia="zh-CN"/>
        </w:rPr>
        <w:t xml:space="preserve"> that [</w:t>
      </w:r>
      <w:r>
        <w:rPr>
          <w:rFonts w:eastAsiaTheme="minorEastAsia"/>
          <w:sz w:val="20"/>
          <w:lang w:eastAsia="zh-CN"/>
        </w:rPr>
        <w:t>1</w:t>
      </w:r>
      <w:r w:rsidR="00B55F8C">
        <w:rPr>
          <w:rFonts w:eastAsiaTheme="minorEastAsia"/>
          <w:sz w:val="20"/>
          <w:lang w:eastAsia="zh-CN"/>
        </w:rPr>
        <w:t>]:</w:t>
      </w:r>
    </w:p>
    <w:p w14:paraId="5B2235B4" w14:textId="2406E084" w:rsidR="00B55F8C" w:rsidRDefault="00DF16F7" w:rsidP="00B55F8C">
      <w:pPr>
        <w:spacing w:after="120"/>
        <w:jc w:val="both"/>
        <w:rPr>
          <w:rFonts w:eastAsiaTheme="minorEastAsia"/>
          <w:sz w:val="20"/>
          <w:lang w:eastAsia="zh-CN"/>
        </w:rPr>
      </w:pPr>
      <w:r>
        <w:rPr>
          <w:rFonts w:eastAsiaTheme="minorEastAsia"/>
          <w:noProof/>
          <w:sz w:val="20"/>
          <w:lang w:eastAsia="zh-CN"/>
        </w:rPr>
        <mc:AlternateContent>
          <mc:Choice Requires="wps">
            <w:drawing>
              <wp:inline distT="0" distB="0" distL="0" distR="0" wp14:anchorId="79486910" wp14:editId="45A347D0">
                <wp:extent cx="6101080" cy="1974850"/>
                <wp:effectExtent l="5715" t="13335" r="8255" b="13970"/>
                <wp:docPr id="480" name="Text Box 1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3392170"/>
                        </a:xfrm>
                        <a:prstGeom prst="rect">
                          <a:avLst/>
                        </a:prstGeom>
                        <a:solidFill>
                          <a:srgbClr val="FFFFFF"/>
                        </a:solidFill>
                        <a:ln w="9525">
                          <a:solidFill>
                            <a:srgbClr val="000000"/>
                          </a:solidFill>
                          <a:miter lim="800000"/>
                          <a:headEnd/>
                          <a:tailEnd/>
                        </a:ln>
                      </wps:spPr>
                      <wps:txbx>
                        <w:txbxContent>
                          <w:p w14:paraId="10D60103" w14:textId="77777777" w:rsidR="00E04C03" w:rsidRDefault="00E04C03" w:rsidP="00E04C03">
                            <w:pPr>
                              <w:pStyle w:val="Agreement"/>
                              <w:tabs>
                                <w:tab w:val="clear" w:pos="1619"/>
                              </w:tabs>
                              <w:ind w:left="360"/>
                            </w:pPr>
                            <w:r w:rsidRPr="009F6D8A">
                              <w:t>For each topology, the BAP address is configured to the boundary node by the CU of that topology via RRC</w:t>
                            </w:r>
                            <w:r>
                              <w:t xml:space="preserve"> (may need to check different scenarios). </w:t>
                            </w:r>
                          </w:p>
                          <w:p w14:paraId="7CF17DB8" w14:textId="77777777" w:rsidR="00E04C03" w:rsidRDefault="00E04C03" w:rsidP="00E04C03">
                            <w:pPr>
                              <w:pStyle w:val="Agreement"/>
                              <w:tabs>
                                <w:tab w:val="clear" w:pos="1619"/>
                              </w:tabs>
                              <w:ind w:left="360"/>
                            </w:pPr>
                            <w:r>
                              <w:t xml:space="preserve">In the Routing configuration: </w:t>
                            </w:r>
                            <w:r w:rsidRPr="00043F1B">
                              <w:t>A BH link and the corresponding next-hop BAP address belong to the topology of the CU that provided the configuration of that BH link and next-hop BAP address.</w:t>
                            </w:r>
                          </w:p>
                          <w:p w14:paraId="5770FBCD" w14:textId="77777777" w:rsidR="00E04C03" w:rsidRPr="00043F1B" w:rsidRDefault="00E04C03" w:rsidP="00E04C03">
                            <w:pPr>
                              <w:pStyle w:val="Agreement"/>
                              <w:tabs>
                                <w:tab w:val="clear" w:pos="1619"/>
                              </w:tabs>
                              <w:ind w:left="360"/>
                            </w:pPr>
                            <w:r>
                              <w:t xml:space="preserve">FFS if </w:t>
                            </w:r>
                            <w:proofErr w:type="gramStart"/>
                            <w:r w:rsidRPr="00043F1B">
                              <w:t>The</w:t>
                            </w:r>
                            <w:proofErr w:type="gramEnd"/>
                            <w:r w:rsidRPr="00043F1B">
                              <w:t xml:space="preserve"> routing entry </w:t>
                            </w:r>
                            <w:r>
                              <w:t>is associated by configuration with the</w:t>
                            </w:r>
                            <w:r w:rsidRPr="00043F1B">
                              <w:t xml:space="preserve"> topology the entry appli</w:t>
                            </w:r>
                            <w:r>
                              <w:t>es to, e.g. by an explicit indicator.</w:t>
                            </w:r>
                          </w:p>
                          <w:p w14:paraId="2478D28C" w14:textId="77777777" w:rsidR="00E04C03" w:rsidRDefault="00E04C03" w:rsidP="00E04C03">
                            <w:pPr>
                              <w:pStyle w:val="Agreement"/>
                              <w:tabs>
                                <w:tab w:val="clear" w:pos="1619"/>
                              </w:tabs>
                              <w:ind w:left="360"/>
                            </w:pPr>
                            <w:r w:rsidRPr="00043F1B">
                              <w:t>The header rewriting configuration is provided via F1AP.</w:t>
                            </w:r>
                          </w:p>
                          <w:p w14:paraId="4A320DFD" w14:textId="77777777" w:rsidR="00E04C03" w:rsidRDefault="00E04C03" w:rsidP="00E04C03">
                            <w:pPr>
                              <w:pStyle w:val="Agreement"/>
                              <w:tabs>
                                <w:tab w:val="clear" w:pos="1619"/>
                              </w:tabs>
                              <w:ind w:left="360"/>
                            </w:pPr>
                            <w:r>
                              <w:t xml:space="preserve">FFS if </w:t>
                            </w:r>
                            <w:proofErr w:type="gramStart"/>
                            <w:r w:rsidRPr="00043F1B">
                              <w:t>The</w:t>
                            </w:r>
                            <w:proofErr w:type="gramEnd"/>
                            <w:r w:rsidRPr="00043F1B">
                              <w:t xml:space="preserve"> header rewriting configuration to include an indicator, which identifies either the egress topology, or the ingress topology, or the traffic direction (RAN2 to select one of these three options).</w:t>
                            </w:r>
                          </w:p>
                          <w:p w14:paraId="266D6CCC" w14:textId="78741F93" w:rsidR="006B5C33" w:rsidRDefault="00E04C03" w:rsidP="00E04C03">
                            <w:pPr>
                              <w:pStyle w:val="Agreement"/>
                              <w:tabs>
                                <w:tab w:val="clear" w:pos="1619"/>
                              </w:tabs>
                              <w:ind w:left="360"/>
                            </w:pPr>
                            <w:r w:rsidRPr="00043F1B">
                              <w:t xml:space="preserve">For </w:t>
                            </w:r>
                            <w:r>
                              <w:t xml:space="preserve">the two scenario of </w:t>
                            </w:r>
                            <w:r w:rsidRPr="00303847">
                              <w:t>inter-topology routing and intra-to-inter-topology re-routing, there is</w:t>
                            </w:r>
                            <w:r w:rsidRPr="00043F1B">
                              <w:t xml:space="preserve"> only one header rewriting</w:t>
                            </w:r>
                            <w:r>
                              <w:t xml:space="preserve"> for a packet</w:t>
                            </w:r>
                            <w:r w:rsidRPr="00043F1B">
                              <w:t>, where the header rewriting entry includes the BAP routing ID of the packet’s ingress topology and the BAP routing ID of the packet’s egress topology</w:t>
                            </w:r>
                            <w:r w:rsidR="006B5C33">
                              <w:t>.</w:t>
                            </w:r>
                          </w:p>
                          <w:p w14:paraId="19362B36" w14:textId="77777777" w:rsidR="00E04C03" w:rsidRDefault="00E04C03" w:rsidP="00E04C03">
                            <w:pPr>
                              <w:pStyle w:val="Agreement"/>
                              <w:tabs>
                                <w:tab w:val="clear" w:pos="1619"/>
                              </w:tabs>
                              <w:ind w:left="360"/>
                            </w:pPr>
                            <w:r>
                              <w:t>Referring to previous agreement “</w:t>
                            </w:r>
                            <w:r w:rsidRPr="00433DCA">
                              <w:rPr>
                                <w:i/>
                              </w:rPr>
                              <w:t>Will have rewriting mapping configuration(s) Old routing ID to New routing ID that limits the possible rewriting (for all cases of re-writing)</w:t>
                            </w:r>
                            <w:r>
                              <w:t>”: It is FFS whether for upstream there would be a configuration optimization such that the “New Routing ID” is the same for all entries (a.k.a. default routing ID)</w:t>
                            </w:r>
                          </w:p>
                          <w:p w14:paraId="64B237C3" w14:textId="4E15D6EC" w:rsidR="00E04C03" w:rsidRPr="0023345E" w:rsidRDefault="00E04C03" w:rsidP="00E04C03">
                            <w:pPr>
                              <w:pStyle w:val="Agreement"/>
                              <w:tabs>
                                <w:tab w:val="clear" w:pos="1619"/>
                              </w:tabs>
                              <w:ind w:left="360"/>
                              <w:rPr>
                                <w:rFonts w:cs="Calibri"/>
                              </w:rPr>
                            </w:pPr>
                            <w:r w:rsidRPr="003B0A81">
                              <w:rPr>
                                <w:rFonts w:cs="Calibri"/>
                              </w:rPr>
                              <w:t>For inter-topology routing, t</w:t>
                            </w:r>
                            <w:r w:rsidRPr="003B0A81">
                              <w:t xml:space="preserve">he header rewriting configuration to include information that allows the boundary node to determine either the egress topology, or the ingress topology, or the traffic direction of a header-rewriting entry (selection of one of these expected). </w:t>
                            </w:r>
                            <w:r w:rsidRPr="003B0A81">
                              <w:rPr>
                                <w:rFonts w:cs="Calibri"/>
                              </w:rPr>
                              <w:t xml:space="preserve">RAN3 to handle the St3-related aspects. </w:t>
                            </w:r>
                          </w:p>
                          <w:p w14:paraId="241216AC" w14:textId="6C376412" w:rsidR="00E04C03" w:rsidRPr="0023345E" w:rsidRDefault="00E04C03" w:rsidP="00E04C03">
                            <w:pPr>
                              <w:pStyle w:val="Agreement"/>
                              <w:tabs>
                                <w:tab w:val="clear" w:pos="1619"/>
                              </w:tabs>
                              <w:ind w:left="360"/>
                            </w:pPr>
                            <w:r w:rsidRPr="003B0A81">
                              <w:t xml:space="preserve">The BH RLC CH mapping configuration </w:t>
                            </w:r>
                            <w:r w:rsidRPr="003B0A81">
                              <w:rPr>
                                <w:rFonts w:cs="Calibri"/>
                              </w:rPr>
                              <w:t>of the boundary node</w:t>
                            </w:r>
                            <w:r w:rsidRPr="003B0A81">
                              <w:t xml:space="preserve"> includes information for the boundary node to differentiate mappings based on </w:t>
                            </w:r>
                            <w:r w:rsidRPr="003B0A81">
                              <w:rPr>
                                <w:rFonts w:cs="Calibri"/>
                              </w:rPr>
                              <w:t>ingress topology and egress topology.</w:t>
                            </w:r>
                          </w:p>
                          <w:p w14:paraId="64FC8E5D" w14:textId="29F56A66" w:rsidR="00E04C03" w:rsidRPr="0023345E" w:rsidRDefault="00E04C03" w:rsidP="00E04C03">
                            <w:pPr>
                              <w:pStyle w:val="Agreement"/>
                              <w:tabs>
                                <w:tab w:val="clear" w:pos="1619"/>
                              </w:tabs>
                              <w:ind w:left="360"/>
                            </w:pPr>
                            <w:r w:rsidRPr="003B0A81">
                              <w:t>The UL mapping configuration to include information for the boundary node to determine the egress topology of each UL mapping entry.</w:t>
                            </w:r>
                          </w:p>
                          <w:p w14:paraId="47EE635F" w14:textId="063197A9" w:rsidR="00E04C03" w:rsidRPr="00AC043D" w:rsidRDefault="00E04C03" w:rsidP="00E04C03">
                            <w:pPr>
                              <w:pStyle w:val="Agreement"/>
                              <w:tabs>
                                <w:tab w:val="clear" w:pos="1619"/>
                              </w:tabs>
                              <w:ind w:left="360"/>
                            </w:pPr>
                            <w:r w:rsidRPr="003B0A81">
                              <w:t xml:space="preserve">In configurations, the topology is referred to as “F1-terminating CU’s topology” vs. “non-F1-terminating CU’s topology”. The terms “F1-terminating CU” and “non-F1-terminating CU” to be defined in St2 spec. </w:t>
                            </w:r>
                          </w:p>
                          <w:p w14:paraId="1F670855" w14:textId="493B770E" w:rsidR="00E04C03" w:rsidRPr="00AC043D" w:rsidRDefault="00E04C03" w:rsidP="00E04C03">
                            <w:pPr>
                              <w:pStyle w:val="Agreement"/>
                              <w:tabs>
                                <w:tab w:val="clear" w:pos="1619"/>
                              </w:tabs>
                              <w:ind w:left="360"/>
                            </w:pPr>
                            <w:r w:rsidRPr="003B0A81">
                              <w:t xml:space="preserve">Determination/execution of header rewriting is handled by the BAP TX entity. </w:t>
                            </w:r>
                          </w:p>
                          <w:p w14:paraId="4EB77008" w14:textId="6244936C" w:rsidR="00E04C03" w:rsidRDefault="00E04C03" w:rsidP="00E04C03">
                            <w:pPr>
                              <w:pStyle w:val="Agreement"/>
                              <w:tabs>
                                <w:tab w:val="clear" w:pos="1619"/>
                              </w:tabs>
                              <w:ind w:left="360"/>
                            </w:pPr>
                            <w:r w:rsidRPr="003B0A81">
                              <w:t xml:space="preserve">The routing configuration to include information that allows the boundary node to determine the topology each routing entry applies to. RAN3 to decide on St3-related aspects. </w:t>
                            </w:r>
                          </w:p>
                          <w:p w14:paraId="19EC4C41" w14:textId="77777777" w:rsidR="00E04C03" w:rsidRPr="00E04C03" w:rsidRDefault="00E04C03" w:rsidP="00E04C03">
                            <w:pPr>
                              <w:pStyle w:val="Doc-text2"/>
                              <w:tabs>
                                <w:tab w:val="clear" w:pos="1622"/>
                              </w:tabs>
                              <w:ind w:left="360"/>
                            </w:pPr>
                          </w:p>
                          <w:p w14:paraId="3C51C1EC" w14:textId="4AC1E759" w:rsidR="00B55F8C" w:rsidRPr="00571558" w:rsidRDefault="00B55F8C" w:rsidP="00B55F8C">
                            <w:pPr>
                              <w:widowControl w:val="0"/>
                              <w:ind w:left="144" w:hanging="144"/>
                              <w:rPr>
                                <w:rFonts w:asciiTheme="majorBidi" w:hAnsiTheme="majorBidi" w:cstheme="majorBidi"/>
                                <w:color w:val="00B050"/>
                                <w:sz w:val="21"/>
                                <w:szCs w:val="21"/>
                              </w:rPr>
                            </w:pPr>
                          </w:p>
                        </w:txbxContent>
                      </wps:txbx>
                      <wps:bodyPr rot="0" vert="horz" wrap="square" lIns="91440" tIns="45720" rIns="91440" bIns="45720" anchor="t" anchorCtr="0" upright="1">
                        <a:spAutoFit/>
                      </wps:bodyPr>
                    </wps:wsp>
                  </a:graphicData>
                </a:graphic>
              </wp:inline>
            </w:drawing>
          </mc:Choice>
          <mc:Fallback>
            <w:pict>
              <v:shapetype w14:anchorId="79486910" id="_x0000_t202" coordsize="21600,21600" o:spt="202" path="m,l,21600r21600,l21600,xe">
                <v:stroke joinstyle="miter"/>
                <v:path gradientshapeok="t" o:connecttype="rect"/>
              </v:shapetype>
              <v:shape id="Text Box 1618" o:spid="_x0000_s1026" type="#_x0000_t202" style="width:480.4pt;height:1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OM9FgIAACwEAAAOAAAAZHJzL2Uyb0RvYy54bWysU9tu2zAMfR+wfxD0vjhJkzYx4hRdugwD&#10;ugvQ7QNkWY6FyaJGKbG7rx8lJ2nQbS/D9CCIInVEHh6ubvvWsINCr8EWfDIac6ashErbXcG/fd2+&#10;WXDmg7CVMGBVwZ+U57fr169WncvVFBowlUJGINbnnSt4E4LLs8zLRrXCj8ApS84asBWBTNxlFYqO&#10;0FuTTcfj66wDrByCVN7T7f3g5OuEX9dKhs917VVgpuCUW0g7pr2Me7ZeiXyHwjVaHtMQ/5BFK7Sl&#10;T89Q9yIItkf9G1SrJYKHOowktBnUtZYq1UDVTMYvqnlshFOpFiLHuzNN/v/Byk+HR/cFWejfQk8N&#10;TEV49wDyu2cWNo2wO3WHCF2jREUfTyJlWed8fnwaqfa5jyBl9xEqarLYB0hAfY1tZIXqZIRODXg6&#10;k676wCRdXk+o8AW5JPmurpbTyU1qSyby03OHPrxX0LJ4KDhSVxO8ODz4ENMR+Skk/ubB6GqrjUkG&#10;7sqNQXYQpIBtWqmCF2HGsq7gy/l0PjDwV4hxWn+CaHUgKRvdFnxxDhJ55O2drZLQgtBmOFPKxh6J&#10;jNwNLIa+7CkwElpC9USUIgySpRGjQwP4k7OO5Fpw/2MvUHFmPlhqy3Iym0V9J2M2v5mSgZee8tIj&#10;rCSoggfOhuMmDDOxd6h3Df10EsIdtXKrE8nPWR3zJkkm7o/jEzV/aaeo5yFf/wIAAP//AwBQSwME&#10;FAAGAAgAAAAhAJ5ZBQvbAAAABQEAAA8AAABkcnMvZG93bnJldi54bWxMj8FOwzAQRO9I/IO1lbhR&#10;JyAqSONUiKpnSkFC3Bx7G0eN1yF205SvZ+ECl5FWs5p5U64m34kRh9gGUpDPMxBIJtiWGgVvr5vr&#10;exAxabK6C4QKzhhhVV1elLqw4UQvOO5SIziEYqEVuJT6QspoHHod56FHYm8fBq8Tn0Mj7aBPHO47&#10;eZNlC+l1S9zgdI9PDs1hd/QK4nr72Zv9tj44e/56Xo935n3zodTVbHpcgkg4pb9n+MFndKiYqQ5H&#10;slF0CnhI+lX2HhYZz6gV3OZ5BrIq5X/66hsAAP//AwBQSwECLQAUAAYACAAAACEAtoM4kv4AAADh&#10;AQAAEwAAAAAAAAAAAAAAAAAAAAAAW0NvbnRlbnRfVHlwZXNdLnhtbFBLAQItABQABgAIAAAAIQA4&#10;/SH/1gAAAJQBAAALAAAAAAAAAAAAAAAAAC8BAABfcmVscy8ucmVsc1BLAQItABQABgAIAAAAIQAb&#10;YOM9FgIAACwEAAAOAAAAAAAAAAAAAAAAAC4CAABkcnMvZTJvRG9jLnhtbFBLAQItABQABgAIAAAA&#10;IQCeWQUL2wAAAAUBAAAPAAAAAAAAAAAAAAAAAHAEAABkcnMvZG93bnJldi54bWxQSwUGAAAAAAQA&#10;BADzAAAAeAUAAAAA&#10;">
                <v:textbox style="mso-fit-shape-to-text:t">
                  <w:txbxContent>
                    <w:p w14:paraId="10D60103" w14:textId="77777777" w:rsidR="00E04C03" w:rsidRDefault="00E04C03" w:rsidP="00E04C03">
                      <w:pPr>
                        <w:pStyle w:val="Agreement"/>
                        <w:tabs>
                          <w:tab w:val="clear" w:pos="1619"/>
                        </w:tabs>
                        <w:ind w:left="360"/>
                      </w:pPr>
                      <w:r w:rsidRPr="009F6D8A">
                        <w:t>For each topology, the BAP address is configured to the boundary node by the CU of that topology via RRC</w:t>
                      </w:r>
                      <w:r>
                        <w:t xml:space="preserve"> (may need to check different scenarios). </w:t>
                      </w:r>
                    </w:p>
                    <w:p w14:paraId="7CF17DB8" w14:textId="77777777" w:rsidR="00E04C03" w:rsidRDefault="00E04C03" w:rsidP="00E04C03">
                      <w:pPr>
                        <w:pStyle w:val="Agreement"/>
                        <w:tabs>
                          <w:tab w:val="clear" w:pos="1619"/>
                        </w:tabs>
                        <w:ind w:left="360"/>
                      </w:pPr>
                      <w:r>
                        <w:t xml:space="preserve">In the Routing configuration: </w:t>
                      </w:r>
                      <w:r w:rsidRPr="00043F1B">
                        <w:t>A BH link and the corresponding next-hop BAP address belong to the topology of the CU that provided the configuration of that BH link and next-hop BAP address.</w:t>
                      </w:r>
                    </w:p>
                    <w:p w14:paraId="5770FBCD" w14:textId="77777777" w:rsidR="00E04C03" w:rsidRPr="00043F1B" w:rsidRDefault="00E04C03" w:rsidP="00E04C03">
                      <w:pPr>
                        <w:pStyle w:val="Agreement"/>
                        <w:tabs>
                          <w:tab w:val="clear" w:pos="1619"/>
                        </w:tabs>
                        <w:ind w:left="360"/>
                      </w:pPr>
                      <w:r>
                        <w:t xml:space="preserve">FFS if </w:t>
                      </w:r>
                      <w:proofErr w:type="gramStart"/>
                      <w:r w:rsidRPr="00043F1B">
                        <w:t>The</w:t>
                      </w:r>
                      <w:proofErr w:type="gramEnd"/>
                      <w:r w:rsidRPr="00043F1B">
                        <w:t xml:space="preserve"> routing entry </w:t>
                      </w:r>
                      <w:r>
                        <w:t>is associated by configuration with the</w:t>
                      </w:r>
                      <w:r w:rsidRPr="00043F1B">
                        <w:t xml:space="preserve"> topology the entry appli</w:t>
                      </w:r>
                      <w:r>
                        <w:t>es to, e.g. by an explicit indicator.</w:t>
                      </w:r>
                    </w:p>
                    <w:p w14:paraId="2478D28C" w14:textId="77777777" w:rsidR="00E04C03" w:rsidRDefault="00E04C03" w:rsidP="00E04C03">
                      <w:pPr>
                        <w:pStyle w:val="Agreement"/>
                        <w:tabs>
                          <w:tab w:val="clear" w:pos="1619"/>
                        </w:tabs>
                        <w:ind w:left="360"/>
                      </w:pPr>
                      <w:r w:rsidRPr="00043F1B">
                        <w:t>The header rewriting configuration is provided via F1AP.</w:t>
                      </w:r>
                    </w:p>
                    <w:p w14:paraId="4A320DFD" w14:textId="77777777" w:rsidR="00E04C03" w:rsidRDefault="00E04C03" w:rsidP="00E04C03">
                      <w:pPr>
                        <w:pStyle w:val="Agreement"/>
                        <w:tabs>
                          <w:tab w:val="clear" w:pos="1619"/>
                        </w:tabs>
                        <w:ind w:left="360"/>
                      </w:pPr>
                      <w:r>
                        <w:t xml:space="preserve">FFS if </w:t>
                      </w:r>
                      <w:proofErr w:type="gramStart"/>
                      <w:r w:rsidRPr="00043F1B">
                        <w:t>The</w:t>
                      </w:r>
                      <w:proofErr w:type="gramEnd"/>
                      <w:r w:rsidRPr="00043F1B">
                        <w:t xml:space="preserve"> header rewriting configuration to include an indicator, which identifies either the egress topology, or the ingress topology, or the traffic direction (RAN2 to select one of these three options).</w:t>
                      </w:r>
                    </w:p>
                    <w:p w14:paraId="266D6CCC" w14:textId="78741F93" w:rsidR="006B5C33" w:rsidRDefault="00E04C03" w:rsidP="00E04C03">
                      <w:pPr>
                        <w:pStyle w:val="Agreement"/>
                        <w:tabs>
                          <w:tab w:val="clear" w:pos="1619"/>
                        </w:tabs>
                        <w:ind w:left="360"/>
                      </w:pPr>
                      <w:r w:rsidRPr="00043F1B">
                        <w:t xml:space="preserve">For </w:t>
                      </w:r>
                      <w:r>
                        <w:t xml:space="preserve">the two scenario of </w:t>
                      </w:r>
                      <w:r w:rsidRPr="00303847">
                        <w:t>inter-topology routing and intra-to-inter-topology re-routing, there is</w:t>
                      </w:r>
                      <w:r w:rsidRPr="00043F1B">
                        <w:t xml:space="preserve"> only one header rewriting</w:t>
                      </w:r>
                      <w:r>
                        <w:t xml:space="preserve"> for a packet</w:t>
                      </w:r>
                      <w:r w:rsidRPr="00043F1B">
                        <w:t>, where the header rewriting entry includes the BAP routing ID of the packet’s ingress topology and the BAP routing ID of the packet’s egress topology</w:t>
                      </w:r>
                      <w:r w:rsidR="006B5C33">
                        <w:t>.</w:t>
                      </w:r>
                    </w:p>
                    <w:p w14:paraId="19362B36" w14:textId="77777777" w:rsidR="00E04C03" w:rsidRDefault="00E04C03" w:rsidP="00E04C03">
                      <w:pPr>
                        <w:pStyle w:val="Agreement"/>
                        <w:tabs>
                          <w:tab w:val="clear" w:pos="1619"/>
                        </w:tabs>
                        <w:ind w:left="360"/>
                      </w:pPr>
                      <w:r>
                        <w:t>Referring to previous agreement “</w:t>
                      </w:r>
                      <w:r w:rsidRPr="00433DCA">
                        <w:rPr>
                          <w:i/>
                        </w:rPr>
                        <w:t>Will have rewriting mapping configuration(s) Old routing ID to New routing ID that limits the possible rewriting (for all cases of re-writing)</w:t>
                      </w:r>
                      <w:r>
                        <w:t>”: It is FFS whether for upstream there would be a configuration optimization such that the “New Routing ID” is the same for all entries (a.k.a. default routing ID)</w:t>
                      </w:r>
                    </w:p>
                    <w:p w14:paraId="64B237C3" w14:textId="4E15D6EC" w:rsidR="00E04C03" w:rsidRPr="0023345E" w:rsidRDefault="00E04C03" w:rsidP="00E04C03">
                      <w:pPr>
                        <w:pStyle w:val="Agreement"/>
                        <w:tabs>
                          <w:tab w:val="clear" w:pos="1619"/>
                        </w:tabs>
                        <w:ind w:left="360"/>
                        <w:rPr>
                          <w:rFonts w:cs="Calibri"/>
                        </w:rPr>
                      </w:pPr>
                      <w:r w:rsidRPr="003B0A81">
                        <w:rPr>
                          <w:rFonts w:cs="Calibri"/>
                        </w:rPr>
                        <w:t>For inter-topology routing, t</w:t>
                      </w:r>
                      <w:r w:rsidRPr="003B0A81">
                        <w:t xml:space="preserve">he header rewriting configuration to include information that allows the boundary node to determine either the egress topology, or the ingress topology, or the traffic direction of a header-rewriting entry (selection of one of these expected). </w:t>
                      </w:r>
                      <w:r w:rsidRPr="003B0A81">
                        <w:rPr>
                          <w:rFonts w:cs="Calibri"/>
                        </w:rPr>
                        <w:t xml:space="preserve">RAN3 to handle the St3-related aspects. </w:t>
                      </w:r>
                    </w:p>
                    <w:p w14:paraId="241216AC" w14:textId="6C376412" w:rsidR="00E04C03" w:rsidRPr="0023345E" w:rsidRDefault="00E04C03" w:rsidP="00E04C03">
                      <w:pPr>
                        <w:pStyle w:val="Agreement"/>
                        <w:tabs>
                          <w:tab w:val="clear" w:pos="1619"/>
                        </w:tabs>
                        <w:ind w:left="360"/>
                      </w:pPr>
                      <w:r w:rsidRPr="003B0A81">
                        <w:t xml:space="preserve">The BH RLC CH mapping configuration </w:t>
                      </w:r>
                      <w:r w:rsidRPr="003B0A81">
                        <w:rPr>
                          <w:rFonts w:cs="Calibri"/>
                        </w:rPr>
                        <w:t>of the boundary node</w:t>
                      </w:r>
                      <w:r w:rsidRPr="003B0A81">
                        <w:t xml:space="preserve"> includes information for the boundary node to differentiate mappings based on </w:t>
                      </w:r>
                      <w:r w:rsidRPr="003B0A81">
                        <w:rPr>
                          <w:rFonts w:cs="Calibri"/>
                        </w:rPr>
                        <w:t>ingress topology and egress topology.</w:t>
                      </w:r>
                    </w:p>
                    <w:p w14:paraId="64FC8E5D" w14:textId="29F56A66" w:rsidR="00E04C03" w:rsidRPr="0023345E" w:rsidRDefault="00E04C03" w:rsidP="00E04C03">
                      <w:pPr>
                        <w:pStyle w:val="Agreement"/>
                        <w:tabs>
                          <w:tab w:val="clear" w:pos="1619"/>
                        </w:tabs>
                        <w:ind w:left="360"/>
                      </w:pPr>
                      <w:r w:rsidRPr="003B0A81">
                        <w:t>The UL mapping configuration to include information for the boundary node to determine the egress topology of each UL mapping entry.</w:t>
                      </w:r>
                    </w:p>
                    <w:p w14:paraId="47EE635F" w14:textId="063197A9" w:rsidR="00E04C03" w:rsidRPr="00AC043D" w:rsidRDefault="00E04C03" w:rsidP="00E04C03">
                      <w:pPr>
                        <w:pStyle w:val="Agreement"/>
                        <w:tabs>
                          <w:tab w:val="clear" w:pos="1619"/>
                        </w:tabs>
                        <w:ind w:left="360"/>
                      </w:pPr>
                      <w:r w:rsidRPr="003B0A81">
                        <w:t xml:space="preserve">In configurations, the topology is referred to as “F1-terminating CU’s topology” vs. “non-F1-terminating CU’s topology”. The terms “F1-terminating CU” and “non-F1-terminating CU” to be defined in St2 spec. </w:t>
                      </w:r>
                    </w:p>
                    <w:p w14:paraId="1F670855" w14:textId="493B770E" w:rsidR="00E04C03" w:rsidRPr="00AC043D" w:rsidRDefault="00E04C03" w:rsidP="00E04C03">
                      <w:pPr>
                        <w:pStyle w:val="Agreement"/>
                        <w:tabs>
                          <w:tab w:val="clear" w:pos="1619"/>
                        </w:tabs>
                        <w:ind w:left="360"/>
                      </w:pPr>
                      <w:r w:rsidRPr="003B0A81">
                        <w:t xml:space="preserve">Determination/execution of header rewriting is handled by the BAP TX entity. </w:t>
                      </w:r>
                    </w:p>
                    <w:p w14:paraId="4EB77008" w14:textId="6244936C" w:rsidR="00E04C03" w:rsidRDefault="00E04C03" w:rsidP="00E04C03">
                      <w:pPr>
                        <w:pStyle w:val="Agreement"/>
                        <w:tabs>
                          <w:tab w:val="clear" w:pos="1619"/>
                        </w:tabs>
                        <w:ind w:left="360"/>
                      </w:pPr>
                      <w:r w:rsidRPr="003B0A81">
                        <w:t xml:space="preserve">The routing configuration to include information that allows the boundary node to determine the topology each routing entry applies to. RAN3 to decide on St3-related aspects. </w:t>
                      </w:r>
                    </w:p>
                    <w:p w14:paraId="19EC4C41" w14:textId="77777777" w:rsidR="00E04C03" w:rsidRPr="00E04C03" w:rsidRDefault="00E04C03" w:rsidP="00E04C03">
                      <w:pPr>
                        <w:pStyle w:val="Doc-text2"/>
                        <w:tabs>
                          <w:tab w:val="clear" w:pos="1622"/>
                        </w:tabs>
                        <w:ind w:left="360"/>
                      </w:pPr>
                    </w:p>
                    <w:p w14:paraId="3C51C1EC" w14:textId="4AC1E759" w:rsidR="00B55F8C" w:rsidRPr="00571558" w:rsidRDefault="00B55F8C" w:rsidP="00B55F8C">
                      <w:pPr>
                        <w:widowControl w:val="0"/>
                        <w:ind w:left="144" w:hanging="144"/>
                        <w:rPr>
                          <w:rFonts w:asciiTheme="majorBidi" w:hAnsiTheme="majorBidi" w:cstheme="majorBidi"/>
                          <w:color w:val="00B050"/>
                          <w:sz w:val="21"/>
                          <w:szCs w:val="21"/>
                        </w:rPr>
                      </w:pPr>
                    </w:p>
                  </w:txbxContent>
                </v:textbox>
                <w10:anchorlock/>
              </v:shape>
            </w:pict>
          </mc:Fallback>
        </mc:AlternateContent>
      </w:r>
    </w:p>
    <w:p w14:paraId="7A280F3C" w14:textId="77777777" w:rsidR="00F431D9" w:rsidRDefault="00F431D9" w:rsidP="00B55F8C">
      <w:pPr>
        <w:spacing w:beforeLines="50" w:before="120" w:line="300" w:lineRule="auto"/>
        <w:jc w:val="both"/>
        <w:rPr>
          <w:sz w:val="20"/>
        </w:rPr>
      </w:pPr>
    </w:p>
    <w:p w14:paraId="14456FB3" w14:textId="6DDD7D0F" w:rsidR="006A1BC4" w:rsidRDefault="00B55F8C" w:rsidP="00B55F8C">
      <w:pPr>
        <w:spacing w:beforeLines="50" w:before="120" w:line="300" w:lineRule="auto"/>
        <w:jc w:val="both"/>
        <w:rPr>
          <w:sz w:val="20"/>
        </w:rPr>
      </w:pPr>
      <w:r>
        <w:rPr>
          <w:sz w:val="20"/>
        </w:rPr>
        <w:t xml:space="preserve">Post </w:t>
      </w:r>
      <w:r w:rsidR="007B79F9">
        <w:rPr>
          <w:rFonts w:eastAsiaTheme="minorEastAsia"/>
          <w:sz w:val="20"/>
          <w:lang w:eastAsia="zh-CN"/>
        </w:rPr>
        <w:t>RAN2#116bis-e RAN2</w:t>
      </w:r>
      <w:r w:rsidR="00A2203E">
        <w:rPr>
          <w:sz w:val="20"/>
        </w:rPr>
        <w:t>,</w:t>
      </w:r>
      <w:r>
        <w:rPr>
          <w:sz w:val="20"/>
        </w:rPr>
        <w:t xml:space="preserve"> RAN2 conducted </w:t>
      </w:r>
      <w:r w:rsidR="001D4C79">
        <w:rPr>
          <w:sz w:val="20"/>
        </w:rPr>
        <w:t>a short</w:t>
      </w:r>
      <w:r>
        <w:rPr>
          <w:sz w:val="20"/>
        </w:rPr>
        <w:t xml:space="preserve"> </w:t>
      </w:r>
      <w:r w:rsidR="006943E5">
        <w:rPr>
          <w:sz w:val="20"/>
        </w:rPr>
        <w:t>e-mail discussion</w:t>
      </w:r>
      <w:r w:rsidR="007D76F7">
        <w:rPr>
          <w:sz w:val="20"/>
        </w:rPr>
        <w:t xml:space="preserve"> </w:t>
      </w:r>
      <w:r w:rsidR="006B5C33">
        <w:rPr>
          <w:sz w:val="20"/>
        </w:rPr>
        <w:t>“</w:t>
      </w:r>
      <w:r w:rsidR="006B5C33" w:rsidRPr="006B5C33">
        <w:rPr>
          <w:sz w:val="20"/>
        </w:rPr>
        <w:t>[Post11</w:t>
      </w:r>
      <w:r w:rsidR="001D4C79">
        <w:rPr>
          <w:sz w:val="20"/>
        </w:rPr>
        <w:t>6bis</w:t>
      </w:r>
      <w:r w:rsidR="006B5C33" w:rsidRPr="006B5C33">
        <w:rPr>
          <w:sz w:val="20"/>
        </w:rPr>
        <w:t>-e][</w:t>
      </w:r>
      <w:proofErr w:type="gramStart"/>
      <w:r w:rsidR="006B5C33" w:rsidRPr="006B5C33">
        <w:rPr>
          <w:sz w:val="20"/>
        </w:rPr>
        <w:t>0</w:t>
      </w:r>
      <w:r w:rsidR="001D4C79">
        <w:rPr>
          <w:sz w:val="20"/>
        </w:rPr>
        <w:t>79</w:t>
      </w:r>
      <w:r w:rsidR="006B5C33" w:rsidRPr="006B5C33">
        <w:rPr>
          <w:sz w:val="20"/>
        </w:rPr>
        <w:t>][</w:t>
      </w:r>
      <w:proofErr w:type="spellStart"/>
      <w:proofErr w:type="gramEnd"/>
      <w:r w:rsidR="006B5C33" w:rsidRPr="006B5C33">
        <w:rPr>
          <w:sz w:val="20"/>
        </w:rPr>
        <w:t>eIAB</w:t>
      </w:r>
      <w:proofErr w:type="spellEnd"/>
      <w:r w:rsidR="006B5C33" w:rsidRPr="006B5C33">
        <w:rPr>
          <w:sz w:val="20"/>
        </w:rPr>
        <w:t xml:space="preserve">] </w:t>
      </w:r>
      <w:r w:rsidR="001D4C79">
        <w:rPr>
          <w:sz w:val="20"/>
        </w:rPr>
        <w:t>O</w:t>
      </w:r>
      <w:r w:rsidR="006B5C33" w:rsidRPr="006B5C33">
        <w:rPr>
          <w:sz w:val="20"/>
        </w:rPr>
        <w:t>pen issues</w:t>
      </w:r>
      <w:r w:rsidR="006943E5">
        <w:rPr>
          <w:sz w:val="20"/>
        </w:rPr>
        <w:t>”</w:t>
      </w:r>
      <w:r w:rsidR="007D76F7" w:rsidRPr="007D76F7">
        <w:rPr>
          <w:sz w:val="20"/>
        </w:rPr>
        <w:t xml:space="preserve"> </w:t>
      </w:r>
      <w:r w:rsidR="007D76F7">
        <w:rPr>
          <w:sz w:val="20"/>
        </w:rPr>
        <w:t>[</w:t>
      </w:r>
      <w:r w:rsidR="001D4C79">
        <w:rPr>
          <w:sz w:val="20"/>
        </w:rPr>
        <w:t>2</w:t>
      </w:r>
      <w:r w:rsidR="007D76F7">
        <w:rPr>
          <w:sz w:val="20"/>
        </w:rPr>
        <w:t>]</w:t>
      </w:r>
      <w:r w:rsidR="001D4C79">
        <w:rPr>
          <w:sz w:val="20"/>
        </w:rPr>
        <w:t xml:space="preserve"> to capture open issues and input for Pre RAN2#117-e discussions</w:t>
      </w:r>
      <w:r w:rsidR="00C028C2">
        <w:rPr>
          <w:sz w:val="20"/>
        </w:rPr>
        <w:t>.</w:t>
      </w:r>
      <w:r w:rsidR="007D76F7">
        <w:rPr>
          <w:sz w:val="20"/>
        </w:rPr>
        <w:t xml:space="preserve"> </w:t>
      </w:r>
      <w:r w:rsidR="00496A53">
        <w:rPr>
          <w:sz w:val="20"/>
        </w:rPr>
        <w:t xml:space="preserve">This contribution provides input on </w:t>
      </w:r>
      <w:r w:rsidR="00B71B36">
        <w:rPr>
          <w:sz w:val="20"/>
        </w:rPr>
        <w:t>header rewriting for the inter-to-intra</w:t>
      </w:r>
      <w:r w:rsidR="00E54C42">
        <w:rPr>
          <w:sz w:val="20"/>
        </w:rPr>
        <w:t xml:space="preserve"> topology rerouting scenario</w:t>
      </w:r>
      <w:r w:rsidR="00922C77" w:rsidRPr="00C0455D">
        <w:rPr>
          <w:sz w:val="20"/>
        </w:rPr>
        <w:t>.</w:t>
      </w:r>
    </w:p>
    <w:p w14:paraId="6513A9D9" w14:textId="77777777" w:rsidR="00F431D9" w:rsidRPr="00401655" w:rsidRDefault="00F431D9" w:rsidP="00B55F8C">
      <w:pPr>
        <w:spacing w:beforeLines="50" w:before="120" w:line="300" w:lineRule="auto"/>
        <w:jc w:val="both"/>
        <w:rPr>
          <w:sz w:val="20"/>
        </w:rPr>
      </w:pPr>
    </w:p>
    <w:p w14:paraId="4AFEC7DB" w14:textId="4929C6CC" w:rsidR="004B507F" w:rsidRPr="00DD5C35" w:rsidRDefault="002167A3" w:rsidP="00DD5C3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473BA2AF" w14:textId="47834D51" w:rsidR="007E2BA0" w:rsidRDefault="007E2BA0" w:rsidP="001C4F5C">
      <w:pPr>
        <w:spacing w:after="120"/>
        <w:jc w:val="both"/>
        <w:rPr>
          <w:sz w:val="20"/>
        </w:rPr>
      </w:pPr>
      <w:r>
        <w:rPr>
          <w:sz w:val="20"/>
        </w:rPr>
        <w:t xml:space="preserve">As indicated above, RAN2 agreed in </w:t>
      </w:r>
      <w:r>
        <w:rPr>
          <w:rFonts w:eastAsiaTheme="minorEastAsia"/>
          <w:sz w:val="20"/>
          <w:lang w:eastAsia="zh-CN"/>
        </w:rPr>
        <w:t>RAN2#116bis-e</w:t>
      </w:r>
      <w:r>
        <w:rPr>
          <w:rFonts w:eastAsiaTheme="minorEastAsia"/>
          <w:sz w:val="20"/>
          <w:lang w:eastAsia="zh-CN"/>
        </w:rPr>
        <w:t xml:space="preserve"> that for both the inter-topology routing case and the intra-to-int</w:t>
      </w:r>
      <w:r w:rsidR="008B4986">
        <w:rPr>
          <w:rFonts w:eastAsiaTheme="minorEastAsia"/>
          <w:sz w:val="20"/>
          <w:lang w:eastAsia="zh-CN"/>
        </w:rPr>
        <w:t>er</w:t>
      </w:r>
      <w:r>
        <w:rPr>
          <w:rFonts w:eastAsiaTheme="minorEastAsia"/>
          <w:sz w:val="20"/>
          <w:lang w:eastAsia="zh-CN"/>
        </w:rPr>
        <w:t xml:space="preserve">-topology re-routing case, there is only one header rewriting for a BAP packet. However, how to implement the </w:t>
      </w:r>
      <w:r w:rsidRPr="001C2C66">
        <w:rPr>
          <w:sz w:val="20"/>
        </w:rPr>
        <w:t>inter-to-intra-topology re-routing</w:t>
      </w:r>
      <w:r>
        <w:rPr>
          <w:sz w:val="20"/>
        </w:rPr>
        <w:t xml:space="preserve"> scenario remains unclear. In this scenario, the </w:t>
      </w:r>
      <w:r w:rsidR="008B4986">
        <w:rPr>
          <w:sz w:val="20"/>
        </w:rPr>
        <w:t>intention is to rewrite the BAP header of the packet at the boundary node for inter-topology routing. However, if inter-topology routing is not possible (</w:t>
      </w:r>
      <w:proofErr w:type="gramStart"/>
      <w:r w:rsidR="008B4986">
        <w:rPr>
          <w:sz w:val="20"/>
        </w:rPr>
        <w:t>e.g.</w:t>
      </w:r>
      <w:proofErr w:type="gramEnd"/>
      <w:r w:rsidR="008B4986">
        <w:rPr>
          <w:sz w:val="20"/>
        </w:rPr>
        <w:t xml:space="preserve"> due a RLF of the egress link towards the other topology) intra-topology routing may be the only option for the packet. As such </w:t>
      </w:r>
      <w:r w:rsidR="008B4986" w:rsidRPr="001C2C66">
        <w:rPr>
          <w:sz w:val="20"/>
        </w:rPr>
        <w:t>inter-to-intra-topology re-routing</w:t>
      </w:r>
      <w:r w:rsidR="008B4986">
        <w:rPr>
          <w:sz w:val="20"/>
        </w:rPr>
        <w:t xml:space="preserve"> is expected to be a very rare scenario. Accordingly, it is preferable to adopt the simplest possible solution to address this case.</w:t>
      </w:r>
    </w:p>
    <w:p w14:paraId="5028B4B3" w14:textId="77777777" w:rsidR="001C4F5C" w:rsidRDefault="001C4F5C" w:rsidP="001C4F5C">
      <w:pPr>
        <w:spacing w:after="120"/>
        <w:jc w:val="both"/>
        <w:rPr>
          <w:b/>
          <w:sz w:val="20"/>
        </w:rPr>
      </w:pPr>
    </w:p>
    <w:p w14:paraId="45375665" w14:textId="3C9452A4" w:rsidR="007E2BA0" w:rsidRPr="001C4F5C" w:rsidRDefault="008B4986" w:rsidP="001C4F5C">
      <w:pPr>
        <w:spacing w:after="120"/>
        <w:jc w:val="both"/>
        <w:rPr>
          <w:b/>
          <w:sz w:val="20"/>
        </w:rPr>
      </w:pPr>
      <w:r w:rsidRPr="001A6366">
        <w:rPr>
          <w:b/>
          <w:sz w:val="20"/>
        </w:rPr>
        <w:t>Observation:</w:t>
      </w:r>
      <w:r>
        <w:rPr>
          <w:b/>
          <w:sz w:val="20"/>
        </w:rPr>
        <w:t xml:space="preserve"> </w:t>
      </w:r>
      <w:r w:rsidR="001C4F5C">
        <w:rPr>
          <w:b/>
          <w:sz w:val="20"/>
        </w:rPr>
        <w:t>I</w:t>
      </w:r>
      <w:r w:rsidRPr="008B4986">
        <w:rPr>
          <w:b/>
          <w:sz w:val="20"/>
        </w:rPr>
        <w:t xml:space="preserve">nter-to-intra-topology re-routing </w:t>
      </w:r>
      <w:r>
        <w:rPr>
          <w:b/>
          <w:sz w:val="20"/>
        </w:rPr>
        <w:t xml:space="preserve">is expected to be </w:t>
      </w:r>
      <w:r w:rsidR="001C4F5C">
        <w:rPr>
          <w:b/>
          <w:sz w:val="20"/>
        </w:rPr>
        <w:t>a rare scenario</w:t>
      </w:r>
      <w:r>
        <w:rPr>
          <w:b/>
          <w:sz w:val="20"/>
        </w:rPr>
        <w:t>.</w:t>
      </w:r>
      <w:r w:rsidR="001C4F5C">
        <w:rPr>
          <w:b/>
          <w:sz w:val="20"/>
        </w:rPr>
        <w:t xml:space="preserve"> It is </w:t>
      </w:r>
      <w:r w:rsidR="001C4F5C" w:rsidRPr="001C4F5C">
        <w:rPr>
          <w:b/>
          <w:sz w:val="20"/>
        </w:rPr>
        <w:t>preferable to adopt the simplest possible solution to address this case.</w:t>
      </w:r>
      <w:r w:rsidR="001C4F5C">
        <w:rPr>
          <w:b/>
          <w:sz w:val="20"/>
        </w:rPr>
        <w:t xml:space="preserve"> </w:t>
      </w:r>
    </w:p>
    <w:p w14:paraId="33F985BC" w14:textId="77777777" w:rsidR="001C4F5C" w:rsidRDefault="001C4F5C" w:rsidP="001C2C66">
      <w:pPr>
        <w:spacing w:after="120"/>
        <w:jc w:val="both"/>
        <w:rPr>
          <w:sz w:val="20"/>
        </w:rPr>
      </w:pPr>
    </w:p>
    <w:p w14:paraId="08CFC67B" w14:textId="45622459" w:rsidR="001C2C66" w:rsidRPr="001C2C66" w:rsidRDefault="001C4F5C" w:rsidP="001C2C66">
      <w:pPr>
        <w:spacing w:after="120"/>
        <w:jc w:val="both"/>
        <w:rPr>
          <w:sz w:val="20"/>
        </w:rPr>
      </w:pPr>
      <w:r>
        <w:rPr>
          <w:sz w:val="20"/>
        </w:rPr>
        <w:t>In the e-mail discussion [3] the following possible</w:t>
      </w:r>
      <w:r w:rsidR="001C2C66" w:rsidRPr="001C2C66">
        <w:rPr>
          <w:sz w:val="20"/>
        </w:rPr>
        <w:t xml:space="preserve"> options </w:t>
      </w:r>
      <w:r>
        <w:rPr>
          <w:sz w:val="20"/>
        </w:rPr>
        <w:t>were proposed to address</w:t>
      </w:r>
      <w:r w:rsidR="001C2C66" w:rsidRPr="001C2C66">
        <w:rPr>
          <w:sz w:val="20"/>
        </w:rPr>
        <w:t xml:space="preserve"> inter-to-intra-topology re-routing:</w:t>
      </w:r>
    </w:p>
    <w:p w14:paraId="2E87861C" w14:textId="77777777" w:rsidR="001C4F5C" w:rsidRDefault="001C4F5C" w:rsidP="001C2C66">
      <w:pPr>
        <w:spacing w:after="120"/>
        <w:jc w:val="both"/>
        <w:rPr>
          <w:sz w:val="20"/>
        </w:rPr>
      </w:pPr>
    </w:p>
    <w:p w14:paraId="25FE072B" w14:textId="3C8752FD" w:rsidR="001C2C66" w:rsidRPr="001C2C66" w:rsidRDefault="001C2C66" w:rsidP="001C4F5C">
      <w:pPr>
        <w:spacing w:after="120"/>
        <w:ind w:left="284"/>
        <w:jc w:val="both"/>
        <w:rPr>
          <w:sz w:val="20"/>
        </w:rPr>
      </w:pPr>
      <w:r w:rsidRPr="001C2C66">
        <w:rPr>
          <w:sz w:val="20"/>
        </w:rPr>
        <w:t>Option 1: No header rewriting is applied, and the upstream packet’s BAP routing ID in the ingress topology contains the BAP address of the IAB-donor-DU in the same topology.</w:t>
      </w:r>
    </w:p>
    <w:p w14:paraId="1D65D617" w14:textId="77777777" w:rsidR="001C2C66" w:rsidRPr="001C2C66" w:rsidRDefault="001C2C66" w:rsidP="001C4F5C">
      <w:pPr>
        <w:spacing w:after="120"/>
        <w:ind w:left="284"/>
        <w:jc w:val="both"/>
        <w:rPr>
          <w:sz w:val="20"/>
        </w:rPr>
      </w:pPr>
      <w:r w:rsidRPr="001C2C66">
        <w:rPr>
          <w:sz w:val="20"/>
        </w:rPr>
        <w:t xml:space="preserve">Option 2: Header rewriting is applied based on a header-rewriting entry, which contains the packet’s ingress BAP routing ID and the BAP routing ID of the packet’s egress topology after inter-to-intra re-routing. </w:t>
      </w:r>
    </w:p>
    <w:p w14:paraId="66D2DF2F" w14:textId="77777777" w:rsidR="001C2C66" w:rsidRPr="001C2C66" w:rsidRDefault="001C2C66" w:rsidP="001C4F5C">
      <w:pPr>
        <w:spacing w:after="120"/>
        <w:ind w:left="284"/>
        <w:jc w:val="both"/>
        <w:rPr>
          <w:sz w:val="20"/>
        </w:rPr>
      </w:pPr>
      <w:r w:rsidRPr="001C2C66">
        <w:rPr>
          <w:sz w:val="20"/>
        </w:rPr>
        <w:t>Option 3: Header rewriting is applied based on a header-rewriting entry, which contains the BAP routing ID of the packet’s intended egress topology after inter-topology routing and the BAP routing ID of the packet’s egress topology after inter-to-intra re-routing.</w:t>
      </w:r>
    </w:p>
    <w:p w14:paraId="622BD6C0" w14:textId="42C8FC12" w:rsidR="002F61B1" w:rsidRDefault="001C2C66" w:rsidP="001C4F5C">
      <w:pPr>
        <w:spacing w:after="120"/>
        <w:ind w:left="284"/>
        <w:jc w:val="both"/>
        <w:rPr>
          <w:sz w:val="20"/>
        </w:rPr>
      </w:pPr>
      <w:r w:rsidRPr="001C2C66">
        <w:rPr>
          <w:sz w:val="20"/>
        </w:rPr>
        <w:t>Option 4: The boundary node is configured with a default BAP routing ID for each topology via RRC, and such default BAP routing ID can be used as the egress routing ID when applying inter-topology rerouting.</w:t>
      </w:r>
    </w:p>
    <w:p w14:paraId="446762F5" w14:textId="06ECE617" w:rsidR="002F61B1" w:rsidRDefault="002F61B1" w:rsidP="00815334">
      <w:pPr>
        <w:spacing w:after="120"/>
        <w:jc w:val="both"/>
        <w:rPr>
          <w:sz w:val="20"/>
        </w:rPr>
      </w:pPr>
    </w:p>
    <w:p w14:paraId="59F9BD79" w14:textId="741045F1" w:rsidR="004040FF" w:rsidRDefault="00AC5F0C" w:rsidP="004040FF">
      <w:pPr>
        <w:spacing w:after="120"/>
        <w:jc w:val="both"/>
        <w:rPr>
          <w:sz w:val="20"/>
        </w:rPr>
      </w:pPr>
      <w:r>
        <w:rPr>
          <w:sz w:val="20"/>
        </w:rPr>
        <w:t xml:space="preserve">Since the egress topology is the same as the ingress topology, option 1 assumes that the BAP address of the upstream packet can be routed via the ingress topology parent node without any rewriting at the boundary node. Thus option 1 avoids the BAP header rewriting completely, and </w:t>
      </w:r>
      <w:r w:rsidR="0043647B">
        <w:rPr>
          <w:sz w:val="20"/>
        </w:rPr>
        <w:t>therefore is the simplest solution of the four options.</w:t>
      </w:r>
      <w:r w:rsidR="004040FF">
        <w:rPr>
          <w:sz w:val="20"/>
        </w:rPr>
        <w:t xml:space="preserve"> However, for option 1 to work the boundary node must have a routing table entry for each BAP routing ID used in the ingress topology, even if this routing ID would normally be rewritten at the boundary node. Thus, there is an additional configuration complexity required to achieve option 1. </w:t>
      </w:r>
    </w:p>
    <w:p w14:paraId="05A342E6" w14:textId="2713301E" w:rsidR="004040FF" w:rsidRDefault="00181A49" w:rsidP="004040FF">
      <w:pPr>
        <w:spacing w:after="120"/>
        <w:jc w:val="both"/>
        <w:rPr>
          <w:sz w:val="20"/>
        </w:rPr>
      </w:pPr>
      <w:r>
        <w:rPr>
          <w:sz w:val="20"/>
        </w:rPr>
        <w:t xml:space="preserve">On the other hand, both options 2 and 3 also suppose additional routing configurations are needed at the boundary node </w:t>
      </w:r>
      <w:proofErr w:type="gramStart"/>
      <w:r>
        <w:rPr>
          <w:sz w:val="20"/>
        </w:rPr>
        <w:t>in order to</w:t>
      </w:r>
      <w:proofErr w:type="gramEnd"/>
      <w:r>
        <w:rPr>
          <w:sz w:val="20"/>
        </w:rPr>
        <w:t xml:space="preserve"> address this </w:t>
      </w:r>
      <w:r w:rsidRPr="001C2C66">
        <w:rPr>
          <w:sz w:val="20"/>
        </w:rPr>
        <w:t>inter-to-intra-topology re-routing</w:t>
      </w:r>
      <w:r>
        <w:rPr>
          <w:sz w:val="20"/>
        </w:rPr>
        <w:t xml:space="preserve"> scenario. The difference only being how the final BAP routing ID is determined. </w:t>
      </w:r>
      <w:r w:rsidR="005A5F83">
        <w:rPr>
          <w:sz w:val="20"/>
        </w:rPr>
        <w:t>In option 2 the new routing ID of the packet is mapped directly from the packet’s ingress routing ID, whereas for Option 3 the mapping is indirect via the intended egress routing ID for inter-topology routing.</w:t>
      </w:r>
    </w:p>
    <w:p w14:paraId="2629A6A6" w14:textId="3C15DCBE" w:rsidR="005A5F83" w:rsidRDefault="009324E7" w:rsidP="004040FF">
      <w:pPr>
        <w:spacing w:after="120"/>
        <w:jc w:val="both"/>
        <w:rPr>
          <w:sz w:val="20"/>
        </w:rPr>
      </w:pPr>
      <w:r>
        <w:rPr>
          <w:sz w:val="20"/>
        </w:rPr>
        <w:t xml:space="preserve">Option 4 is somewhat of a compromise between the full configuration of options 2 &amp; 3, and no configuration of option 1. In option 4 the single default BAP routing ID per topology is rewritten to all </w:t>
      </w:r>
      <w:r w:rsidR="00395A4A">
        <w:rPr>
          <w:sz w:val="20"/>
        </w:rPr>
        <w:t>egress packets for inter-topology rerouting.</w:t>
      </w:r>
      <w:r w:rsidR="00273D18">
        <w:rPr>
          <w:sz w:val="20"/>
        </w:rPr>
        <w:t xml:space="preserve"> However, a major disadvantage of option 4 compared to the other options is that there is no possibility for differentiation of routing for different egress BAP routing IDs. </w:t>
      </w:r>
    </w:p>
    <w:p w14:paraId="4DFE1069" w14:textId="651AE639" w:rsidR="00395A4A" w:rsidRDefault="004F0A23" w:rsidP="004040FF">
      <w:pPr>
        <w:spacing w:after="120"/>
        <w:jc w:val="both"/>
        <w:rPr>
          <w:sz w:val="20"/>
        </w:rPr>
      </w:pPr>
      <w:r>
        <w:rPr>
          <w:sz w:val="20"/>
        </w:rPr>
        <w:t xml:space="preserve">Based on the previous discussion we have the following comparison </w:t>
      </w:r>
      <w:r w:rsidR="00AA5593">
        <w:rPr>
          <w:sz w:val="20"/>
        </w:rPr>
        <w:t>among these 4 options:</w:t>
      </w:r>
    </w:p>
    <w:p w14:paraId="53FF05E0" w14:textId="79915529" w:rsidR="00AA5593" w:rsidRDefault="00AA5593" w:rsidP="004040FF">
      <w:pPr>
        <w:spacing w:after="120"/>
        <w:jc w:val="both"/>
        <w:rPr>
          <w:sz w:val="20"/>
        </w:rPr>
      </w:pPr>
    </w:p>
    <w:tbl>
      <w:tblPr>
        <w:tblStyle w:val="TableGrid"/>
        <w:tblW w:w="0" w:type="auto"/>
        <w:tblInd w:w="805" w:type="dxa"/>
        <w:tblLook w:val="04A0" w:firstRow="1" w:lastRow="0" w:firstColumn="1" w:lastColumn="0" w:noHBand="0" w:noVBand="1"/>
      </w:tblPr>
      <w:tblGrid>
        <w:gridCol w:w="947"/>
        <w:gridCol w:w="2828"/>
        <w:gridCol w:w="2594"/>
        <w:gridCol w:w="2447"/>
      </w:tblGrid>
      <w:tr w:rsidR="00AA5593" w14:paraId="00965951" w14:textId="77777777" w:rsidTr="00AA5593">
        <w:tc>
          <w:tcPr>
            <w:tcW w:w="1080" w:type="dxa"/>
          </w:tcPr>
          <w:p w14:paraId="0003D405" w14:textId="77777777" w:rsidR="00AA5593" w:rsidRDefault="00AA5593" w:rsidP="00AA5593">
            <w:pPr>
              <w:spacing w:after="120"/>
              <w:jc w:val="both"/>
              <w:rPr>
                <w:sz w:val="20"/>
              </w:rPr>
            </w:pPr>
          </w:p>
        </w:tc>
        <w:tc>
          <w:tcPr>
            <w:tcW w:w="3960" w:type="dxa"/>
          </w:tcPr>
          <w:p w14:paraId="2DE968E8" w14:textId="3E37A200" w:rsidR="00AA5593" w:rsidRDefault="00AA5593" w:rsidP="004040FF">
            <w:pPr>
              <w:spacing w:after="120"/>
              <w:jc w:val="both"/>
              <w:rPr>
                <w:sz w:val="20"/>
              </w:rPr>
            </w:pPr>
            <w:r>
              <w:rPr>
                <w:sz w:val="20"/>
              </w:rPr>
              <w:t>Configuration Complexity at Boundary Node</w:t>
            </w:r>
          </w:p>
        </w:tc>
        <w:tc>
          <w:tcPr>
            <w:tcW w:w="3600" w:type="dxa"/>
          </w:tcPr>
          <w:p w14:paraId="6E6A62BF" w14:textId="05225AD5" w:rsidR="00AA5593" w:rsidRDefault="00AA5593" w:rsidP="004040FF">
            <w:pPr>
              <w:spacing w:after="120"/>
              <w:jc w:val="both"/>
              <w:rPr>
                <w:sz w:val="20"/>
              </w:rPr>
            </w:pPr>
            <w:r>
              <w:rPr>
                <w:sz w:val="20"/>
              </w:rPr>
              <w:t>Impact to BAP Specification</w:t>
            </w:r>
          </w:p>
        </w:tc>
        <w:tc>
          <w:tcPr>
            <w:tcW w:w="3510" w:type="dxa"/>
          </w:tcPr>
          <w:p w14:paraId="025B3895" w14:textId="11CA2DFF" w:rsidR="00AA5593" w:rsidRDefault="00AA5593" w:rsidP="004040FF">
            <w:pPr>
              <w:spacing w:after="120"/>
              <w:jc w:val="both"/>
              <w:rPr>
                <w:sz w:val="20"/>
              </w:rPr>
            </w:pPr>
            <w:r>
              <w:rPr>
                <w:sz w:val="20"/>
              </w:rPr>
              <w:t>Flexibility of route selection for rerouting</w:t>
            </w:r>
          </w:p>
        </w:tc>
      </w:tr>
      <w:tr w:rsidR="00AA5593" w14:paraId="43FF7E76" w14:textId="77777777" w:rsidTr="00AA5593">
        <w:tc>
          <w:tcPr>
            <w:tcW w:w="1080" w:type="dxa"/>
          </w:tcPr>
          <w:p w14:paraId="22ED19D9" w14:textId="6222E773" w:rsidR="00AA5593" w:rsidRDefault="00AA5593" w:rsidP="004040FF">
            <w:pPr>
              <w:spacing w:after="120"/>
              <w:jc w:val="both"/>
              <w:rPr>
                <w:sz w:val="20"/>
              </w:rPr>
            </w:pPr>
            <w:r>
              <w:rPr>
                <w:sz w:val="20"/>
              </w:rPr>
              <w:t>Option 1</w:t>
            </w:r>
          </w:p>
        </w:tc>
        <w:tc>
          <w:tcPr>
            <w:tcW w:w="3960" w:type="dxa"/>
          </w:tcPr>
          <w:p w14:paraId="7D0564C0" w14:textId="7A5A65D1" w:rsidR="00AA5593" w:rsidRDefault="00AA5593" w:rsidP="004040FF">
            <w:pPr>
              <w:spacing w:after="120"/>
              <w:jc w:val="both"/>
              <w:rPr>
                <w:sz w:val="20"/>
              </w:rPr>
            </w:pPr>
            <w:r>
              <w:rPr>
                <w:sz w:val="20"/>
              </w:rPr>
              <w:t>High</w:t>
            </w:r>
          </w:p>
        </w:tc>
        <w:tc>
          <w:tcPr>
            <w:tcW w:w="3600" w:type="dxa"/>
          </w:tcPr>
          <w:p w14:paraId="52F71F62" w14:textId="773BACAA" w:rsidR="00AA5593" w:rsidRDefault="00AA5593" w:rsidP="004040FF">
            <w:pPr>
              <w:spacing w:after="120"/>
              <w:jc w:val="both"/>
              <w:rPr>
                <w:sz w:val="20"/>
              </w:rPr>
            </w:pPr>
            <w:r>
              <w:rPr>
                <w:sz w:val="20"/>
              </w:rPr>
              <w:t>Minimal</w:t>
            </w:r>
          </w:p>
        </w:tc>
        <w:tc>
          <w:tcPr>
            <w:tcW w:w="3510" w:type="dxa"/>
          </w:tcPr>
          <w:p w14:paraId="6D7BDDF9" w14:textId="1C428C32" w:rsidR="00AA5593" w:rsidRDefault="00AA5593" w:rsidP="004040FF">
            <w:pPr>
              <w:spacing w:after="120"/>
              <w:jc w:val="both"/>
              <w:rPr>
                <w:sz w:val="20"/>
              </w:rPr>
            </w:pPr>
            <w:r>
              <w:rPr>
                <w:sz w:val="20"/>
              </w:rPr>
              <w:t>Good</w:t>
            </w:r>
          </w:p>
        </w:tc>
      </w:tr>
      <w:tr w:rsidR="00AA5593" w14:paraId="36B28A6D" w14:textId="77777777" w:rsidTr="00AA5593">
        <w:tc>
          <w:tcPr>
            <w:tcW w:w="1080" w:type="dxa"/>
          </w:tcPr>
          <w:p w14:paraId="3BA34903" w14:textId="2960AB85" w:rsidR="00AA5593" w:rsidRDefault="00AA5593" w:rsidP="004040FF">
            <w:pPr>
              <w:spacing w:after="120"/>
              <w:jc w:val="both"/>
              <w:rPr>
                <w:sz w:val="20"/>
              </w:rPr>
            </w:pPr>
            <w:r>
              <w:rPr>
                <w:sz w:val="20"/>
              </w:rPr>
              <w:t>Option 2</w:t>
            </w:r>
          </w:p>
        </w:tc>
        <w:tc>
          <w:tcPr>
            <w:tcW w:w="3960" w:type="dxa"/>
          </w:tcPr>
          <w:p w14:paraId="0234D142" w14:textId="42557373" w:rsidR="00AA5593" w:rsidRDefault="00AA5593" w:rsidP="004040FF">
            <w:pPr>
              <w:spacing w:after="120"/>
              <w:jc w:val="both"/>
              <w:rPr>
                <w:sz w:val="20"/>
              </w:rPr>
            </w:pPr>
            <w:r>
              <w:rPr>
                <w:sz w:val="20"/>
              </w:rPr>
              <w:t>High</w:t>
            </w:r>
          </w:p>
        </w:tc>
        <w:tc>
          <w:tcPr>
            <w:tcW w:w="3600" w:type="dxa"/>
          </w:tcPr>
          <w:p w14:paraId="3F4C8A4C" w14:textId="455EB88B" w:rsidR="00AA5593" w:rsidRDefault="00AA5593" w:rsidP="004040FF">
            <w:pPr>
              <w:spacing w:after="120"/>
              <w:jc w:val="both"/>
              <w:rPr>
                <w:sz w:val="20"/>
              </w:rPr>
            </w:pPr>
            <w:r>
              <w:rPr>
                <w:sz w:val="20"/>
              </w:rPr>
              <w:t>High</w:t>
            </w:r>
          </w:p>
        </w:tc>
        <w:tc>
          <w:tcPr>
            <w:tcW w:w="3510" w:type="dxa"/>
          </w:tcPr>
          <w:p w14:paraId="76625DB9" w14:textId="64BF4386" w:rsidR="00AA5593" w:rsidRDefault="00AA5593" w:rsidP="004040FF">
            <w:pPr>
              <w:spacing w:after="120"/>
              <w:jc w:val="both"/>
              <w:rPr>
                <w:sz w:val="20"/>
              </w:rPr>
            </w:pPr>
            <w:r>
              <w:rPr>
                <w:sz w:val="20"/>
              </w:rPr>
              <w:t>Good</w:t>
            </w:r>
          </w:p>
        </w:tc>
      </w:tr>
      <w:tr w:rsidR="00AA5593" w14:paraId="114E5CB8" w14:textId="77777777" w:rsidTr="00AA5593">
        <w:tc>
          <w:tcPr>
            <w:tcW w:w="1080" w:type="dxa"/>
          </w:tcPr>
          <w:p w14:paraId="7A755A20" w14:textId="5497709B" w:rsidR="00AA5593" w:rsidRDefault="00AA5593" w:rsidP="004040FF">
            <w:pPr>
              <w:spacing w:after="120"/>
              <w:jc w:val="both"/>
              <w:rPr>
                <w:sz w:val="20"/>
              </w:rPr>
            </w:pPr>
            <w:r>
              <w:rPr>
                <w:sz w:val="20"/>
              </w:rPr>
              <w:t>Option 3</w:t>
            </w:r>
          </w:p>
        </w:tc>
        <w:tc>
          <w:tcPr>
            <w:tcW w:w="3960" w:type="dxa"/>
          </w:tcPr>
          <w:p w14:paraId="030F785D" w14:textId="3301E5A3" w:rsidR="00AA5593" w:rsidRDefault="00AA5593" w:rsidP="004040FF">
            <w:pPr>
              <w:spacing w:after="120"/>
              <w:jc w:val="both"/>
              <w:rPr>
                <w:sz w:val="20"/>
              </w:rPr>
            </w:pPr>
            <w:r>
              <w:rPr>
                <w:sz w:val="20"/>
              </w:rPr>
              <w:t>High</w:t>
            </w:r>
          </w:p>
        </w:tc>
        <w:tc>
          <w:tcPr>
            <w:tcW w:w="3600" w:type="dxa"/>
          </w:tcPr>
          <w:p w14:paraId="03892948" w14:textId="7D88102E" w:rsidR="00AA5593" w:rsidRDefault="00AA5593" w:rsidP="004040FF">
            <w:pPr>
              <w:spacing w:after="120"/>
              <w:jc w:val="both"/>
              <w:rPr>
                <w:sz w:val="20"/>
              </w:rPr>
            </w:pPr>
            <w:r>
              <w:rPr>
                <w:sz w:val="20"/>
              </w:rPr>
              <w:t>High</w:t>
            </w:r>
          </w:p>
        </w:tc>
        <w:tc>
          <w:tcPr>
            <w:tcW w:w="3510" w:type="dxa"/>
          </w:tcPr>
          <w:p w14:paraId="40016A0D" w14:textId="6A57842C" w:rsidR="00AA5593" w:rsidRDefault="00AA5593" w:rsidP="004040FF">
            <w:pPr>
              <w:spacing w:after="120"/>
              <w:jc w:val="both"/>
              <w:rPr>
                <w:sz w:val="20"/>
              </w:rPr>
            </w:pPr>
            <w:r>
              <w:rPr>
                <w:sz w:val="20"/>
              </w:rPr>
              <w:t>Good</w:t>
            </w:r>
          </w:p>
        </w:tc>
      </w:tr>
      <w:tr w:rsidR="00AA5593" w14:paraId="20AA8B8B" w14:textId="77777777" w:rsidTr="00AA5593">
        <w:tc>
          <w:tcPr>
            <w:tcW w:w="1080" w:type="dxa"/>
          </w:tcPr>
          <w:p w14:paraId="12031525" w14:textId="474DD10F" w:rsidR="00AA5593" w:rsidRDefault="00AA5593" w:rsidP="004040FF">
            <w:pPr>
              <w:spacing w:after="120"/>
              <w:jc w:val="both"/>
              <w:rPr>
                <w:sz w:val="20"/>
              </w:rPr>
            </w:pPr>
            <w:r>
              <w:rPr>
                <w:sz w:val="20"/>
              </w:rPr>
              <w:t>Option 4</w:t>
            </w:r>
          </w:p>
        </w:tc>
        <w:tc>
          <w:tcPr>
            <w:tcW w:w="3960" w:type="dxa"/>
          </w:tcPr>
          <w:p w14:paraId="1B4EEED5" w14:textId="2C497C04" w:rsidR="00AA5593" w:rsidRDefault="00AA5593" w:rsidP="004040FF">
            <w:pPr>
              <w:spacing w:after="120"/>
              <w:jc w:val="both"/>
              <w:rPr>
                <w:sz w:val="20"/>
              </w:rPr>
            </w:pPr>
            <w:r>
              <w:rPr>
                <w:sz w:val="20"/>
              </w:rPr>
              <w:t>Low</w:t>
            </w:r>
          </w:p>
        </w:tc>
        <w:tc>
          <w:tcPr>
            <w:tcW w:w="3600" w:type="dxa"/>
          </w:tcPr>
          <w:p w14:paraId="3E2D124F" w14:textId="043D7B0B" w:rsidR="00AA5593" w:rsidRDefault="00AA5593" w:rsidP="004040FF">
            <w:pPr>
              <w:spacing w:after="120"/>
              <w:jc w:val="both"/>
              <w:rPr>
                <w:sz w:val="20"/>
              </w:rPr>
            </w:pPr>
            <w:r>
              <w:rPr>
                <w:sz w:val="20"/>
              </w:rPr>
              <w:t>Low</w:t>
            </w:r>
          </w:p>
        </w:tc>
        <w:tc>
          <w:tcPr>
            <w:tcW w:w="3510" w:type="dxa"/>
          </w:tcPr>
          <w:p w14:paraId="62242BA0" w14:textId="590E5018" w:rsidR="00AA5593" w:rsidRDefault="00AA5593" w:rsidP="004040FF">
            <w:pPr>
              <w:spacing w:after="120"/>
              <w:jc w:val="both"/>
              <w:rPr>
                <w:sz w:val="20"/>
              </w:rPr>
            </w:pPr>
            <w:r>
              <w:rPr>
                <w:sz w:val="20"/>
              </w:rPr>
              <w:t>Poor</w:t>
            </w:r>
          </w:p>
        </w:tc>
      </w:tr>
    </w:tbl>
    <w:p w14:paraId="577D1096" w14:textId="77777777" w:rsidR="00AA5593" w:rsidRDefault="00AA5593" w:rsidP="004040FF">
      <w:pPr>
        <w:spacing w:after="120"/>
        <w:jc w:val="both"/>
        <w:rPr>
          <w:sz w:val="20"/>
        </w:rPr>
      </w:pPr>
    </w:p>
    <w:p w14:paraId="6C42E5C0" w14:textId="6E1A2A54" w:rsidR="004040FF" w:rsidRDefault="00AA5593" w:rsidP="00AC5F0C">
      <w:pPr>
        <w:spacing w:after="120"/>
        <w:jc w:val="both"/>
        <w:rPr>
          <w:sz w:val="20"/>
        </w:rPr>
      </w:pPr>
      <w:r>
        <w:rPr>
          <w:sz w:val="20"/>
        </w:rPr>
        <w:t xml:space="preserve">We can observe from the comparison above that Option 1 has the advantage both of low impact to the BAP spec, and the flexibility of determining how </w:t>
      </w:r>
      <w:r w:rsidR="00A52BE9">
        <w:rPr>
          <w:sz w:val="20"/>
        </w:rPr>
        <w:t>rerouting packets will be routed towards the donor IAB node. As such, we think that Option 1 should be taken as a baseline for the i</w:t>
      </w:r>
      <w:r w:rsidR="00A52BE9" w:rsidRPr="00A52BE9">
        <w:rPr>
          <w:sz w:val="20"/>
        </w:rPr>
        <w:t>nter-to-intra-topology re-routing</w:t>
      </w:r>
      <w:r w:rsidR="00A52BE9">
        <w:rPr>
          <w:sz w:val="20"/>
        </w:rPr>
        <w:t xml:space="preserve"> solution.</w:t>
      </w:r>
    </w:p>
    <w:p w14:paraId="4B09356D" w14:textId="77777777" w:rsidR="00A52BE9" w:rsidRDefault="00A52BE9" w:rsidP="00A52BE9">
      <w:pPr>
        <w:spacing w:after="120"/>
        <w:jc w:val="both"/>
        <w:rPr>
          <w:b/>
          <w:sz w:val="20"/>
        </w:rPr>
      </w:pPr>
    </w:p>
    <w:p w14:paraId="352C6149" w14:textId="717FEFB8" w:rsidR="00A52BE9" w:rsidRPr="0085400C" w:rsidRDefault="00A52BE9" w:rsidP="00A52BE9">
      <w:pPr>
        <w:spacing w:after="120"/>
        <w:jc w:val="both"/>
        <w:rPr>
          <w:bCs/>
          <w:sz w:val="20"/>
        </w:rPr>
      </w:pPr>
      <w:r>
        <w:rPr>
          <w:b/>
          <w:sz w:val="20"/>
        </w:rPr>
        <w:t>Proposal</w:t>
      </w:r>
      <w:r>
        <w:rPr>
          <w:b/>
          <w:sz w:val="20"/>
        </w:rPr>
        <w:t xml:space="preserve"> 1</w:t>
      </w:r>
      <w:r>
        <w:rPr>
          <w:b/>
          <w:sz w:val="20"/>
        </w:rPr>
        <w:t xml:space="preserve">: RAN2 </w:t>
      </w:r>
      <w:r>
        <w:rPr>
          <w:b/>
          <w:sz w:val="20"/>
        </w:rPr>
        <w:t xml:space="preserve">to adopt Option 1 as the baseline solution for </w:t>
      </w:r>
      <w:r w:rsidRPr="00A52BE9">
        <w:rPr>
          <w:b/>
          <w:sz w:val="20"/>
        </w:rPr>
        <w:t>inter-to-intra-topology re-routing</w:t>
      </w:r>
      <w:r>
        <w:rPr>
          <w:b/>
          <w:sz w:val="20"/>
        </w:rPr>
        <w:t>.</w:t>
      </w:r>
    </w:p>
    <w:p w14:paraId="7BA78E12" w14:textId="541C685E" w:rsidR="002F61B1" w:rsidRDefault="002F61B1" w:rsidP="00815334">
      <w:pPr>
        <w:spacing w:after="120"/>
        <w:jc w:val="both"/>
        <w:rPr>
          <w:sz w:val="20"/>
        </w:rPr>
      </w:pPr>
    </w:p>
    <w:p w14:paraId="6A54E3DC" w14:textId="05ADCF70" w:rsidR="00903C60" w:rsidRDefault="00A52BE9" w:rsidP="00815334">
      <w:pPr>
        <w:spacing w:after="120"/>
        <w:jc w:val="both"/>
        <w:rPr>
          <w:sz w:val="20"/>
        </w:rPr>
      </w:pPr>
      <w:r>
        <w:rPr>
          <w:sz w:val="20"/>
        </w:rPr>
        <w:t xml:space="preserve">As discussed above, the main drawback of option 1 is the complexity of configuring intra-topology routing table entries for each ingress routing ID, in addition to the inter-topology </w:t>
      </w:r>
      <w:r w:rsidR="00903C60">
        <w:rPr>
          <w:sz w:val="20"/>
        </w:rPr>
        <w:t>routing entries. Hence, it may be useful for RAN2 to consider how to simplify this configuration. For example, the boundary node could apply Rel. 16 rerouting for any ingress-topology routing that does not have an explicit entry in the routing table.</w:t>
      </w:r>
    </w:p>
    <w:p w14:paraId="77FBBDB2" w14:textId="77777777" w:rsidR="00903C60" w:rsidRDefault="00903C60" w:rsidP="00815334">
      <w:pPr>
        <w:spacing w:after="120"/>
        <w:jc w:val="both"/>
        <w:rPr>
          <w:sz w:val="20"/>
        </w:rPr>
      </w:pPr>
    </w:p>
    <w:p w14:paraId="525375FD" w14:textId="7B74EC01" w:rsidR="00903C60" w:rsidRDefault="00903C60" w:rsidP="00815334">
      <w:pPr>
        <w:spacing w:after="120"/>
        <w:jc w:val="both"/>
        <w:rPr>
          <w:sz w:val="20"/>
        </w:rPr>
      </w:pPr>
      <w:r>
        <w:rPr>
          <w:b/>
          <w:sz w:val="20"/>
        </w:rPr>
        <w:t xml:space="preserve">Proposal </w:t>
      </w:r>
      <w:r>
        <w:rPr>
          <w:b/>
          <w:sz w:val="20"/>
        </w:rPr>
        <w:t>2</w:t>
      </w:r>
      <w:r>
        <w:rPr>
          <w:b/>
          <w:sz w:val="20"/>
        </w:rPr>
        <w:t xml:space="preserve">: RAN2 to </w:t>
      </w:r>
      <w:r>
        <w:rPr>
          <w:b/>
          <w:sz w:val="20"/>
        </w:rPr>
        <w:t>discuss if further optimization is warranted to simplify boundary node configuration in the case of option 1 being agreed.</w:t>
      </w:r>
    </w:p>
    <w:p w14:paraId="60DCC82C" w14:textId="55B66BD4" w:rsidR="00A52BE9" w:rsidRDefault="00A52BE9" w:rsidP="00815334">
      <w:pPr>
        <w:spacing w:after="120"/>
        <w:jc w:val="both"/>
        <w:rPr>
          <w:sz w:val="20"/>
        </w:rPr>
      </w:pPr>
      <w:r>
        <w:rPr>
          <w:sz w:val="20"/>
        </w:rPr>
        <w:t xml:space="preserve"> </w:t>
      </w:r>
    </w:p>
    <w:bookmarkEnd w:id="5"/>
    <w:bookmarkEnd w:id="6"/>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050DF3B" w:rsidR="003470BF" w:rsidRDefault="00A12DCA" w:rsidP="00B702A1">
      <w:pPr>
        <w:jc w:val="both"/>
        <w:rPr>
          <w:rFonts w:eastAsia="SimSun"/>
          <w:sz w:val="20"/>
          <w:lang w:eastAsia="zh-CN"/>
        </w:rPr>
      </w:pPr>
      <w:r w:rsidRPr="00D75C8E">
        <w:rPr>
          <w:sz w:val="20"/>
        </w:rPr>
        <w:t xml:space="preserve">In this paper we briefly </w:t>
      </w:r>
      <w:r w:rsidR="00F768CD">
        <w:rPr>
          <w:sz w:val="20"/>
        </w:rPr>
        <w:t xml:space="preserve">discussed </w:t>
      </w:r>
      <w:r w:rsidR="00F431D9">
        <w:rPr>
          <w:sz w:val="20"/>
        </w:rPr>
        <w:t>header rewriting for the inter-to-intra topology rerouting scenario</w:t>
      </w:r>
      <w:r w:rsidR="00057922" w:rsidRPr="00D75C8E">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 xml:space="preserve">observation and </w:t>
      </w:r>
      <w:r w:rsidR="00561404">
        <w:rPr>
          <w:rFonts w:eastAsia="SimSun"/>
          <w:sz w:val="20"/>
          <w:lang w:eastAsia="zh-CN"/>
        </w:rPr>
        <w:t>proposal</w:t>
      </w:r>
      <w:r w:rsidR="00F431D9">
        <w:rPr>
          <w:rFonts w:eastAsia="SimSun"/>
          <w:sz w:val="20"/>
          <w:lang w:eastAsia="zh-CN"/>
        </w:rPr>
        <w:t>s</w:t>
      </w:r>
      <w:r w:rsidR="00B702A1">
        <w:rPr>
          <w:rFonts w:eastAsia="SimSun"/>
          <w:sz w:val="20"/>
          <w:lang w:eastAsia="zh-CN"/>
        </w:rPr>
        <w:t>:</w:t>
      </w:r>
    </w:p>
    <w:p w14:paraId="21AF09C7" w14:textId="77777777" w:rsidR="000F7666" w:rsidRDefault="000F7666" w:rsidP="00B702A1">
      <w:pPr>
        <w:jc w:val="both"/>
        <w:rPr>
          <w:rFonts w:eastAsia="SimSun"/>
          <w:sz w:val="20"/>
          <w:lang w:eastAsia="zh-CN"/>
        </w:rPr>
      </w:pPr>
    </w:p>
    <w:p w14:paraId="7608F0F1" w14:textId="6BC9CE6F" w:rsidR="00F431D9" w:rsidRDefault="00F431D9" w:rsidP="00F431D9">
      <w:pPr>
        <w:spacing w:after="120"/>
        <w:jc w:val="both"/>
        <w:rPr>
          <w:b/>
          <w:sz w:val="20"/>
        </w:rPr>
      </w:pPr>
      <w:r w:rsidRPr="001A6366">
        <w:rPr>
          <w:b/>
          <w:sz w:val="20"/>
        </w:rPr>
        <w:t>Observation:</w:t>
      </w:r>
      <w:r>
        <w:rPr>
          <w:b/>
          <w:sz w:val="20"/>
        </w:rPr>
        <w:t xml:space="preserve"> I</w:t>
      </w:r>
      <w:r w:rsidRPr="008B4986">
        <w:rPr>
          <w:b/>
          <w:sz w:val="20"/>
        </w:rPr>
        <w:t xml:space="preserve">nter-to-intra-topology re-routing </w:t>
      </w:r>
      <w:r>
        <w:rPr>
          <w:b/>
          <w:sz w:val="20"/>
        </w:rPr>
        <w:t xml:space="preserve">is expected to be a rare scenario. It is </w:t>
      </w:r>
      <w:r w:rsidRPr="001C4F5C">
        <w:rPr>
          <w:b/>
          <w:sz w:val="20"/>
        </w:rPr>
        <w:t>preferable to adopt the simplest possible solution to address this case.</w:t>
      </w:r>
      <w:r>
        <w:rPr>
          <w:b/>
          <w:sz w:val="20"/>
        </w:rPr>
        <w:t xml:space="preserve"> </w:t>
      </w:r>
    </w:p>
    <w:p w14:paraId="38016472" w14:textId="77777777" w:rsidR="00F431D9" w:rsidRDefault="00F431D9" w:rsidP="00F431D9">
      <w:pPr>
        <w:spacing w:after="120"/>
        <w:jc w:val="both"/>
        <w:rPr>
          <w:b/>
          <w:sz w:val="20"/>
        </w:rPr>
      </w:pPr>
    </w:p>
    <w:p w14:paraId="1CBA547B" w14:textId="60875000" w:rsidR="00F431D9" w:rsidRPr="00F431D9" w:rsidRDefault="00F431D9" w:rsidP="00F431D9">
      <w:pPr>
        <w:spacing w:after="120"/>
        <w:jc w:val="both"/>
        <w:rPr>
          <w:bCs/>
          <w:sz w:val="20"/>
        </w:rPr>
      </w:pPr>
      <w:r>
        <w:rPr>
          <w:b/>
          <w:sz w:val="20"/>
        </w:rPr>
        <w:t xml:space="preserve">Proposal 1: RAN2 to adopt Option 1 as the baseline solution for </w:t>
      </w:r>
      <w:r w:rsidRPr="00A52BE9">
        <w:rPr>
          <w:b/>
          <w:sz w:val="20"/>
        </w:rPr>
        <w:t>inter-to-intra-topology re-routing</w:t>
      </w:r>
      <w:r>
        <w:rPr>
          <w:b/>
          <w:sz w:val="20"/>
        </w:rPr>
        <w:t>.</w:t>
      </w:r>
    </w:p>
    <w:p w14:paraId="38AC2E89" w14:textId="50104F2D" w:rsidR="00F431D9" w:rsidRDefault="00F431D9" w:rsidP="00F431D9">
      <w:pPr>
        <w:spacing w:after="120"/>
        <w:jc w:val="both"/>
        <w:rPr>
          <w:sz w:val="20"/>
        </w:rPr>
      </w:pPr>
      <w:r>
        <w:rPr>
          <w:b/>
          <w:sz w:val="20"/>
        </w:rPr>
        <w:t>Proposal 2: RAN2 to discuss if further optimization is warranted to simplify boundary node configuration in the case of option 1 being agreed.</w:t>
      </w:r>
    </w:p>
    <w:p w14:paraId="5D47EAF3" w14:textId="77777777" w:rsidR="00F431D9" w:rsidRPr="000F7666" w:rsidRDefault="00F431D9" w:rsidP="000F7666">
      <w:pPr>
        <w:spacing w:after="120"/>
        <w:jc w:val="both"/>
        <w:rPr>
          <w:bCs/>
          <w:sz w:val="20"/>
        </w:rPr>
      </w:pPr>
    </w:p>
    <w:p w14:paraId="3E4C1B46" w14:textId="0EC63883" w:rsidR="007F05F2" w:rsidRPr="00E04C03" w:rsidRDefault="00516701" w:rsidP="00E04C03">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r w:rsidR="000113D8">
        <w:rPr>
          <w:rFonts w:eastAsia="Arial"/>
        </w:rPr>
        <w:t>s</w:t>
      </w:r>
    </w:p>
    <w:p w14:paraId="12707EA3" w14:textId="64E5BD8D" w:rsidR="00A2203E" w:rsidRDefault="00A2203E" w:rsidP="007F05F2">
      <w:pPr>
        <w:jc w:val="both"/>
      </w:pPr>
      <w:r>
        <w:t>[</w:t>
      </w:r>
      <w:r w:rsidR="00E04C03">
        <w:t>1</w:t>
      </w:r>
      <w:r>
        <w:t>] RAN</w:t>
      </w:r>
      <w:r w:rsidR="00B30201">
        <w:t>2</w:t>
      </w:r>
      <w:r>
        <w:t>#11</w:t>
      </w:r>
      <w:r w:rsidR="00B30201">
        <w:t>6bis</w:t>
      </w:r>
      <w:r>
        <w:t>-e</w:t>
      </w:r>
      <w:r w:rsidR="00E04C03">
        <w:t xml:space="preserve"> </w:t>
      </w:r>
      <w:r>
        <w:t xml:space="preserve">Chairman notes, </w:t>
      </w:r>
      <w:r w:rsidR="00E04C03">
        <w:t>January</w:t>
      </w:r>
      <w:r>
        <w:t xml:space="preserve"> 202</w:t>
      </w:r>
      <w:r w:rsidR="00E04C03">
        <w:t>2</w:t>
      </w:r>
    </w:p>
    <w:p w14:paraId="6B88D40D" w14:textId="24431FF2" w:rsidR="00B14418" w:rsidRDefault="00F451E2" w:rsidP="00E04C03">
      <w:pPr>
        <w:jc w:val="both"/>
      </w:pPr>
      <w:r>
        <w:t>[</w:t>
      </w:r>
      <w:r w:rsidR="00E04C03">
        <w:t>2</w:t>
      </w:r>
      <w:r>
        <w:t xml:space="preserve">] </w:t>
      </w:r>
      <w:r w:rsidR="00B30201" w:rsidRPr="00B30201">
        <w:t>R2-2202050</w:t>
      </w:r>
      <w:r w:rsidR="00B30201">
        <w:t xml:space="preserve">, </w:t>
      </w:r>
      <w:r w:rsidR="00B30201" w:rsidRPr="00B30201">
        <w:t>[Post116bis-e][</w:t>
      </w:r>
      <w:proofErr w:type="gramStart"/>
      <w:r w:rsidR="00B30201" w:rsidRPr="00B30201">
        <w:t>079][</w:t>
      </w:r>
      <w:proofErr w:type="spellStart"/>
      <w:proofErr w:type="gramEnd"/>
      <w:r w:rsidR="00B30201" w:rsidRPr="00B30201">
        <w:t>eIAB</w:t>
      </w:r>
      <w:proofErr w:type="spellEnd"/>
      <w:r w:rsidR="00B30201" w:rsidRPr="00B30201">
        <w:t>] Open Issues</w:t>
      </w:r>
      <w:r w:rsidR="00B30201">
        <w:t xml:space="preserve">, </w:t>
      </w:r>
      <w:r w:rsidR="00B30201" w:rsidRPr="00B30201">
        <w:t>Qualcomm Incorporated (Rapporteur)</w:t>
      </w:r>
      <w:r w:rsidR="00B30201">
        <w:t xml:space="preserve">, </w:t>
      </w:r>
      <w:r w:rsidR="00B30201">
        <w:t>RAN2#116bis-e</w:t>
      </w:r>
    </w:p>
    <w:p w14:paraId="3E2D573D" w14:textId="33C76EF2" w:rsidR="001C4F5C" w:rsidRDefault="001C4F5C" w:rsidP="00E04C03">
      <w:pPr>
        <w:jc w:val="both"/>
      </w:pPr>
      <w:r>
        <w:t xml:space="preserve">[3] </w:t>
      </w:r>
      <w:r w:rsidRPr="00B30201">
        <w:t>R2-220</w:t>
      </w:r>
      <w:r>
        <w:t>1879</w:t>
      </w:r>
      <w:r>
        <w:t xml:space="preserve">, </w:t>
      </w:r>
      <w:r w:rsidRPr="00B30201">
        <w:t>[</w:t>
      </w:r>
      <w:r>
        <w:t>AT116</w:t>
      </w:r>
      <w:r w:rsidRPr="00B30201">
        <w:t>bis-e][</w:t>
      </w:r>
      <w:proofErr w:type="gramStart"/>
      <w:r w:rsidRPr="00B30201">
        <w:t>0</w:t>
      </w:r>
      <w:r>
        <w:t>4</w:t>
      </w:r>
      <w:r w:rsidRPr="00B30201">
        <w:t>9][</w:t>
      </w:r>
      <w:proofErr w:type="spellStart"/>
      <w:proofErr w:type="gramEnd"/>
      <w:r w:rsidRPr="00B30201">
        <w:t>eIAB</w:t>
      </w:r>
      <w:proofErr w:type="spellEnd"/>
      <w:r w:rsidRPr="00B30201">
        <w:t xml:space="preserve">] </w:t>
      </w:r>
      <w:r>
        <w:t>BAP Routing</w:t>
      </w:r>
      <w:r>
        <w:t xml:space="preserve">, </w:t>
      </w:r>
      <w:r w:rsidRPr="00B30201">
        <w:t>Qualcomm Incorporated (Rapporteur)</w:t>
      </w:r>
      <w:r>
        <w:t>, RAN2#116bis-e</w:t>
      </w:r>
    </w:p>
    <w:p w14:paraId="03F5108E" w14:textId="77777777" w:rsidR="00B14418" w:rsidRDefault="00B14418" w:rsidP="007D76F7">
      <w:pPr>
        <w:jc w:val="both"/>
      </w:pPr>
    </w:p>
    <w:p w14:paraId="0D610B74" w14:textId="77777777" w:rsidR="001E30FC" w:rsidRDefault="001E30FC" w:rsidP="007071B9">
      <w:pPr>
        <w:jc w:val="both"/>
      </w:pPr>
    </w:p>
    <w:p w14:paraId="30E22369" w14:textId="77777777" w:rsidR="007071B9" w:rsidRPr="004279E6" w:rsidRDefault="007071B9" w:rsidP="004279E6">
      <w:pPr>
        <w:jc w:val="both"/>
      </w:pPr>
    </w:p>
    <w:sectPr w:rsidR="007071B9" w:rsidRPr="004279E6"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C15B0" w14:textId="77777777" w:rsidR="004502FA" w:rsidRDefault="004502FA">
      <w:r>
        <w:separator/>
      </w:r>
    </w:p>
  </w:endnote>
  <w:endnote w:type="continuationSeparator" w:id="0">
    <w:p w14:paraId="1667A440" w14:textId="77777777" w:rsidR="004502FA" w:rsidRDefault="00450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67543B" w:rsidRDefault="0067543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32A04" w14:textId="77777777" w:rsidR="004502FA" w:rsidRDefault="004502FA">
      <w:r>
        <w:separator/>
      </w:r>
    </w:p>
  </w:footnote>
  <w:footnote w:type="continuationSeparator" w:id="0">
    <w:p w14:paraId="73E2D43D" w14:textId="77777777" w:rsidR="004502FA" w:rsidRDefault="00450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FF56D3"/>
    <w:multiLevelType w:val="multilevel"/>
    <w:tmpl w:val="0CFF56D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3F547C6"/>
    <w:multiLevelType w:val="hybridMultilevel"/>
    <w:tmpl w:val="8CC02120"/>
    <w:lvl w:ilvl="0" w:tplc="FBD4A094">
      <w:start w:val="8"/>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1"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2"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7D4E07"/>
    <w:multiLevelType w:val="hybridMultilevel"/>
    <w:tmpl w:val="417801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0955398"/>
    <w:multiLevelType w:val="hybridMultilevel"/>
    <w:tmpl w:val="8E3AE4E4"/>
    <w:lvl w:ilvl="0" w:tplc="0409000F">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6"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0"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CF398F"/>
    <w:multiLevelType w:val="hybridMultilevel"/>
    <w:tmpl w:val="DDF0B94A"/>
    <w:lvl w:ilvl="0" w:tplc="FBD4A09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F962FE0"/>
    <w:multiLevelType w:val="hybridMultilevel"/>
    <w:tmpl w:val="A1BC2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B2B6E92"/>
    <w:multiLevelType w:val="hybridMultilevel"/>
    <w:tmpl w:val="69649C4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27"/>
  </w:num>
  <w:num w:numId="4">
    <w:abstractNumId w:val="2"/>
  </w:num>
  <w:num w:numId="5">
    <w:abstractNumId w:val="1"/>
  </w:num>
  <w:num w:numId="6">
    <w:abstractNumId w:val="0"/>
  </w:num>
  <w:num w:numId="7">
    <w:abstractNumId w:val="10"/>
  </w:num>
  <w:num w:numId="8">
    <w:abstractNumId w:val="28"/>
  </w:num>
  <w:num w:numId="9">
    <w:abstractNumId w:val="23"/>
  </w:num>
  <w:num w:numId="10">
    <w:abstractNumId w:val="7"/>
  </w:num>
  <w:num w:numId="11">
    <w:abstractNumId w:val="5"/>
  </w:num>
  <w:num w:numId="12">
    <w:abstractNumId w:val="21"/>
  </w:num>
  <w:num w:numId="13">
    <w:abstractNumId w:val="11"/>
  </w:num>
  <w:num w:numId="14">
    <w:abstractNumId w:val="3"/>
  </w:num>
  <w:num w:numId="15">
    <w:abstractNumId w:val="26"/>
  </w:num>
  <w:num w:numId="16">
    <w:abstractNumId w:val="16"/>
  </w:num>
  <w:num w:numId="17">
    <w:abstractNumId w:val="9"/>
  </w:num>
  <w:num w:numId="18">
    <w:abstractNumId w:val="26"/>
  </w:num>
  <w:num w:numId="19">
    <w:abstractNumId w:val="14"/>
  </w:num>
  <w:num w:numId="20">
    <w:abstractNumId w:val="8"/>
  </w:num>
  <w:num w:numId="21">
    <w:abstractNumId w:val="8"/>
  </w:num>
  <w:num w:numId="22">
    <w:abstractNumId w:val="8"/>
  </w:num>
  <w:num w:numId="23">
    <w:abstractNumId w:val="8"/>
  </w:num>
  <w:num w:numId="24">
    <w:abstractNumId w:val="8"/>
  </w:num>
  <w:num w:numId="25">
    <w:abstractNumId w:val="20"/>
  </w:num>
  <w:num w:numId="26">
    <w:abstractNumId w:val="12"/>
  </w:num>
  <w:num w:numId="27">
    <w:abstractNumId w:val="29"/>
  </w:num>
  <w:num w:numId="28">
    <w:abstractNumId w:val="17"/>
  </w:num>
  <w:num w:numId="29">
    <w:abstractNumId w:val="19"/>
  </w:num>
  <w:num w:numId="30">
    <w:abstractNumId w:val="15"/>
  </w:num>
  <w:num w:numId="31">
    <w:abstractNumId w:val="24"/>
  </w:num>
  <w:num w:numId="32">
    <w:abstractNumId w:val="25"/>
  </w:num>
  <w:num w:numId="33">
    <w:abstractNumId w:val="13"/>
  </w:num>
  <w:num w:numId="34">
    <w:abstractNumId w:val="6"/>
  </w:num>
  <w:num w:numId="35">
    <w:abstractNumId w:val="22"/>
  </w:num>
  <w:num w:numId="36">
    <w:abstractNumId w:val="18"/>
  </w:num>
  <w:num w:numId="3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val="bestFit" w:percent="15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CF9"/>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67"/>
    <w:rsid w:val="00010FE8"/>
    <w:rsid w:val="00011044"/>
    <w:rsid w:val="000113D8"/>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37ECC"/>
    <w:rsid w:val="00037FCA"/>
    <w:rsid w:val="0004009C"/>
    <w:rsid w:val="0004079F"/>
    <w:rsid w:val="0004089A"/>
    <w:rsid w:val="000408B8"/>
    <w:rsid w:val="00040E10"/>
    <w:rsid w:val="00041037"/>
    <w:rsid w:val="0004127F"/>
    <w:rsid w:val="0004131B"/>
    <w:rsid w:val="000413D8"/>
    <w:rsid w:val="000415EB"/>
    <w:rsid w:val="00041630"/>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3A"/>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D9A"/>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4C2"/>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C1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9B7"/>
    <w:rsid w:val="00081B81"/>
    <w:rsid w:val="00081C37"/>
    <w:rsid w:val="00081FA5"/>
    <w:rsid w:val="0008211D"/>
    <w:rsid w:val="000827D0"/>
    <w:rsid w:val="00082A87"/>
    <w:rsid w:val="00082CC6"/>
    <w:rsid w:val="00082E87"/>
    <w:rsid w:val="00082EAD"/>
    <w:rsid w:val="00082FEF"/>
    <w:rsid w:val="00083024"/>
    <w:rsid w:val="00083234"/>
    <w:rsid w:val="0008362A"/>
    <w:rsid w:val="00083842"/>
    <w:rsid w:val="000839A0"/>
    <w:rsid w:val="00083AD3"/>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004"/>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13E"/>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761"/>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29D"/>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73B"/>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A75"/>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666"/>
    <w:rsid w:val="000F7A9D"/>
    <w:rsid w:val="000F7AB0"/>
    <w:rsid w:val="000F7B08"/>
    <w:rsid w:val="00100022"/>
    <w:rsid w:val="00100151"/>
    <w:rsid w:val="00100950"/>
    <w:rsid w:val="00100D77"/>
    <w:rsid w:val="00100E8B"/>
    <w:rsid w:val="00101062"/>
    <w:rsid w:val="00101339"/>
    <w:rsid w:val="001015A2"/>
    <w:rsid w:val="001015EC"/>
    <w:rsid w:val="001018A3"/>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0CB"/>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02"/>
    <w:rsid w:val="00111C66"/>
    <w:rsid w:val="00111E0E"/>
    <w:rsid w:val="00111E3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C9E"/>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620"/>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7"/>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140"/>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A49"/>
    <w:rsid w:val="00181F8D"/>
    <w:rsid w:val="00182938"/>
    <w:rsid w:val="00182A05"/>
    <w:rsid w:val="001832F8"/>
    <w:rsid w:val="00183B51"/>
    <w:rsid w:val="00183C59"/>
    <w:rsid w:val="00183DD4"/>
    <w:rsid w:val="00183DE8"/>
    <w:rsid w:val="00184039"/>
    <w:rsid w:val="001840B8"/>
    <w:rsid w:val="001845C9"/>
    <w:rsid w:val="00184E37"/>
    <w:rsid w:val="00185072"/>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BFE"/>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1FD"/>
    <w:rsid w:val="001A43DD"/>
    <w:rsid w:val="001A459C"/>
    <w:rsid w:val="001A45B9"/>
    <w:rsid w:val="001A474D"/>
    <w:rsid w:val="001A486F"/>
    <w:rsid w:val="001A48C7"/>
    <w:rsid w:val="001A4BD2"/>
    <w:rsid w:val="001A4CDF"/>
    <w:rsid w:val="001A5217"/>
    <w:rsid w:val="001A55BE"/>
    <w:rsid w:val="001A5A30"/>
    <w:rsid w:val="001A5A46"/>
    <w:rsid w:val="001A62DA"/>
    <w:rsid w:val="001A636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0D"/>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C66"/>
    <w:rsid w:val="001C2DD3"/>
    <w:rsid w:val="001C2E8E"/>
    <w:rsid w:val="001C3392"/>
    <w:rsid w:val="001C33EB"/>
    <w:rsid w:val="001C3503"/>
    <w:rsid w:val="001C37A7"/>
    <w:rsid w:val="001C3BBC"/>
    <w:rsid w:val="001C3CE3"/>
    <w:rsid w:val="001C416D"/>
    <w:rsid w:val="001C472F"/>
    <w:rsid w:val="001C49FD"/>
    <w:rsid w:val="001C4CE8"/>
    <w:rsid w:val="001C4F5C"/>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C79"/>
    <w:rsid w:val="001D4F74"/>
    <w:rsid w:val="001D5253"/>
    <w:rsid w:val="001D53B0"/>
    <w:rsid w:val="001D547F"/>
    <w:rsid w:val="001D5B76"/>
    <w:rsid w:val="001D5E6C"/>
    <w:rsid w:val="001D6110"/>
    <w:rsid w:val="001D6151"/>
    <w:rsid w:val="001D61E0"/>
    <w:rsid w:val="001D6E0D"/>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09D"/>
    <w:rsid w:val="001E2170"/>
    <w:rsid w:val="001E28F2"/>
    <w:rsid w:val="001E2B3D"/>
    <w:rsid w:val="001E2C65"/>
    <w:rsid w:val="001E2D23"/>
    <w:rsid w:val="001E2E55"/>
    <w:rsid w:val="001E3038"/>
    <w:rsid w:val="001E30FC"/>
    <w:rsid w:val="001E356A"/>
    <w:rsid w:val="001E3784"/>
    <w:rsid w:val="001E3BE4"/>
    <w:rsid w:val="001E3E52"/>
    <w:rsid w:val="001E405F"/>
    <w:rsid w:val="001E41C4"/>
    <w:rsid w:val="001E41F3"/>
    <w:rsid w:val="001E47BD"/>
    <w:rsid w:val="001E4988"/>
    <w:rsid w:val="001E4AA3"/>
    <w:rsid w:val="001E4B4F"/>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7BB"/>
    <w:rsid w:val="001F080B"/>
    <w:rsid w:val="001F0B9D"/>
    <w:rsid w:val="001F0D8B"/>
    <w:rsid w:val="001F11E2"/>
    <w:rsid w:val="001F13E3"/>
    <w:rsid w:val="001F14E3"/>
    <w:rsid w:val="001F1D5A"/>
    <w:rsid w:val="001F1EFA"/>
    <w:rsid w:val="001F2175"/>
    <w:rsid w:val="001F2349"/>
    <w:rsid w:val="001F2777"/>
    <w:rsid w:val="001F2BBD"/>
    <w:rsid w:val="001F2D46"/>
    <w:rsid w:val="001F2E0E"/>
    <w:rsid w:val="001F2E68"/>
    <w:rsid w:val="001F33D9"/>
    <w:rsid w:val="001F39F7"/>
    <w:rsid w:val="001F3B72"/>
    <w:rsid w:val="001F3C8F"/>
    <w:rsid w:val="001F3CA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3B"/>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810"/>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42D"/>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AF5"/>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153"/>
    <w:rsid w:val="002202E0"/>
    <w:rsid w:val="00220388"/>
    <w:rsid w:val="00220751"/>
    <w:rsid w:val="00220771"/>
    <w:rsid w:val="0022085B"/>
    <w:rsid w:val="002210AF"/>
    <w:rsid w:val="002215A3"/>
    <w:rsid w:val="00221C2B"/>
    <w:rsid w:val="00221CF5"/>
    <w:rsid w:val="00221D10"/>
    <w:rsid w:val="00221E21"/>
    <w:rsid w:val="00221E99"/>
    <w:rsid w:val="00221EBA"/>
    <w:rsid w:val="00222165"/>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7A0"/>
    <w:rsid w:val="00230A6E"/>
    <w:rsid w:val="00230BCE"/>
    <w:rsid w:val="00230BF6"/>
    <w:rsid w:val="00231426"/>
    <w:rsid w:val="00231498"/>
    <w:rsid w:val="00231BDF"/>
    <w:rsid w:val="00231D60"/>
    <w:rsid w:val="00231E54"/>
    <w:rsid w:val="00231FEF"/>
    <w:rsid w:val="00232157"/>
    <w:rsid w:val="0023215A"/>
    <w:rsid w:val="002324AB"/>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2E4"/>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AB7"/>
    <w:rsid w:val="00266E68"/>
    <w:rsid w:val="00267006"/>
    <w:rsid w:val="002671F5"/>
    <w:rsid w:val="00267513"/>
    <w:rsid w:val="0026776D"/>
    <w:rsid w:val="00267881"/>
    <w:rsid w:val="00267980"/>
    <w:rsid w:val="00267CD2"/>
    <w:rsid w:val="00267F54"/>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3D18"/>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5BD"/>
    <w:rsid w:val="00284A52"/>
    <w:rsid w:val="00284ACB"/>
    <w:rsid w:val="00284CC3"/>
    <w:rsid w:val="00284F3C"/>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EA4"/>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68"/>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5D"/>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24"/>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DEA"/>
    <w:rsid w:val="002D3E1A"/>
    <w:rsid w:val="002D404E"/>
    <w:rsid w:val="002D41AA"/>
    <w:rsid w:val="002D41B4"/>
    <w:rsid w:val="002D4204"/>
    <w:rsid w:val="002D444C"/>
    <w:rsid w:val="002D467B"/>
    <w:rsid w:val="002D4949"/>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0BDB"/>
    <w:rsid w:val="002E1052"/>
    <w:rsid w:val="002E11AF"/>
    <w:rsid w:val="002E13BE"/>
    <w:rsid w:val="002E148D"/>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4D39"/>
    <w:rsid w:val="002E50B7"/>
    <w:rsid w:val="002E5179"/>
    <w:rsid w:val="002E5192"/>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B1"/>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B83"/>
    <w:rsid w:val="00302DF4"/>
    <w:rsid w:val="00303157"/>
    <w:rsid w:val="0030340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735"/>
    <w:rsid w:val="00307A40"/>
    <w:rsid w:val="00307DF5"/>
    <w:rsid w:val="00310264"/>
    <w:rsid w:val="003102FD"/>
    <w:rsid w:val="0031057E"/>
    <w:rsid w:val="00310693"/>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17CFD"/>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37E13"/>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377"/>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12"/>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56C"/>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7E0"/>
    <w:rsid w:val="00382804"/>
    <w:rsid w:val="003829D1"/>
    <w:rsid w:val="00382CC2"/>
    <w:rsid w:val="00382CDB"/>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E3"/>
    <w:rsid w:val="003858FB"/>
    <w:rsid w:val="00385A58"/>
    <w:rsid w:val="003864A0"/>
    <w:rsid w:val="00386929"/>
    <w:rsid w:val="00386E16"/>
    <w:rsid w:val="00386EF2"/>
    <w:rsid w:val="00386FF5"/>
    <w:rsid w:val="00387664"/>
    <w:rsid w:val="00387985"/>
    <w:rsid w:val="00387F10"/>
    <w:rsid w:val="00390355"/>
    <w:rsid w:val="0039064D"/>
    <w:rsid w:val="003907A3"/>
    <w:rsid w:val="00390988"/>
    <w:rsid w:val="00390AAC"/>
    <w:rsid w:val="00390D72"/>
    <w:rsid w:val="00390EDA"/>
    <w:rsid w:val="0039127B"/>
    <w:rsid w:val="00391543"/>
    <w:rsid w:val="003915CD"/>
    <w:rsid w:val="0039181F"/>
    <w:rsid w:val="003918F1"/>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4A"/>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8C1"/>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2E3B"/>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2C5"/>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0E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8E8"/>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655"/>
    <w:rsid w:val="004018E8"/>
    <w:rsid w:val="00401E1B"/>
    <w:rsid w:val="00402558"/>
    <w:rsid w:val="004028AF"/>
    <w:rsid w:val="004028FC"/>
    <w:rsid w:val="00402D8A"/>
    <w:rsid w:val="00403136"/>
    <w:rsid w:val="00403358"/>
    <w:rsid w:val="004034B4"/>
    <w:rsid w:val="004034DA"/>
    <w:rsid w:val="00403595"/>
    <w:rsid w:val="0040361C"/>
    <w:rsid w:val="00403716"/>
    <w:rsid w:val="0040384D"/>
    <w:rsid w:val="004038EC"/>
    <w:rsid w:val="0040397B"/>
    <w:rsid w:val="00403A2C"/>
    <w:rsid w:val="004040FF"/>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7B3"/>
    <w:rsid w:val="00414854"/>
    <w:rsid w:val="00414F67"/>
    <w:rsid w:val="00415070"/>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57B"/>
    <w:rsid w:val="00416668"/>
    <w:rsid w:val="0041669D"/>
    <w:rsid w:val="00416AC5"/>
    <w:rsid w:val="00416BB5"/>
    <w:rsid w:val="00416E09"/>
    <w:rsid w:val="004172D1"/>
    <w:rsid w:val="004175FD"/>
    <w:rsid w:val="00417721"/>
    <w:rsid w:val="00417896"/>
    <w:rsid w:val="00420021"/>
    <w:rsid w:val="00420822"/>
    <w:rsid w:val="00420838"/>
    <w:rsid w:val="00421562"/>
    <w:rsid w:val="004215D7"/>
    <w:rsid w:val="00421819"/>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70"/>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47B"/>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2FA"/>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89"/>
    <w:rsid w:val="00455AF4"/>
    <w:rsid w:val="00455B6C"/>
    <w:rsid w:val="00455D8F"/>
    <w:rsid w:val="00455D9C"/>
    <w:rsid w:val="00455F90"/>
    <w:rsid w:val="004567A8"/>
    <w:rsid w:val="004567F6"/>
    <w:rsid w:val="0045684C"/>
    <w:rsid w:val="004568D7"/>
    <w:rsid w:val="004570C0"/>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3AE"/>
    <w:rsid w:val="0046785C"/>
    <w:rsid w:val="004678D4"/>
    <w:rsid w:val="00467940"/>
    <w:rsid w:val="004700E7"/>
    <w:rsid w:val="004703AA"/>
    <w:rsid w:val="004704C4"/>
    <w:rsid w:val="00470565"/>
    <w:rsid w:val="004708D6"/>
    <w:rsid w:val="00470B17"/>
    <w:rsid w:val="00470C8B"/>
    <w:rsid w:val="0047101D"/>
    <w:rsid w:val="00471392"/>
    <w:rsid w:val="0047172B"/>
    <w:rsid w:val="0047195C"/>
    <w:rsid w:val="0047197D"/>
    <w:rsid w:val="00471BE8"/>
    <w:rsid w:val="00471C96"/>
    <w:rsid w:val="00472352"/>
    <w:rsid w:val="00472584"/>
    <w:rsid w:val="004726BB"/>
    <w:rsid w:val="00472747"/>
    <w:rsid w:val="00472B30"/>
    <w:rsid w:val="00472D1C"/>
    <w:rsid w:val="00473C32"/>
    <w:rsid w:val="00473C5A"/>
    <w:rsid w:val="00473FCC"/>
    <w:rsid w:val="00474031"/>
    <w:rsid w:val="004740B0"/>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B2"/>
    <w:rsid w:val="004809D3"/>
    <w:rsid w:val="00480AFE"/>
    <w:rsid w:val="00480BAC"/>
    <w:rsid w:val="00480FCB"/>
    <w:rsid w:val="004815B7"/>
    <w:rsid w:val="0048196E"/>
    <w:rsid w:val="004819B6"/>
    <w:rsid w:val="00481C1C"/>
    <w:rsid w:val="004822A4"/>
    <w:rsid w:val="004827C5"/>
    <w:rsid w:val="00482A35"/>
    <w:rsid w:val="00482A52"/>
    <w:rsid w:val="0048357D"/>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BC"/>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53"/>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A85"/>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A9E"/>
    <w:rsid w:val="004A6DF2"/>
    <w:rsid w:val="004A6E00"/>
    <w:rsid w:val="004A6E05"/>
    <w:rsid w:val="004A6F7E"/>
    <w:rsid w:val="004A75EE"/>
    <w:rsid w:val="004A7682"/>
    <w:rsid w:val="004A7D32"/>
    <w:rsid w:val="004B01C0"/>
    <w:rsid w:val="004B01D5"/>
    <w:rsid w:val="004B0599"/>
    <w:rsid w:val="004B05F2"/>
    <w:rsid w:val="004B0648"/>
    <w:rsid w:val="004B0745"/>
    <w:rsid w:val="004B0860"/>
    <w:rsid w:val="004B0D4F"/>
    <w:rsid w:val="004B0D8D"/>
    <w:rsid w:val="004B165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07F"/>
    <w:rsid w:val="004B5BC5"/>
    <w:rsid w:val="004B5D1A"/>
    <w:rsid w:val="004B67D8"/>
    <w:rsid w:val="004B6E41"/>
    <w:rsid w:val="004B71A4"/>
    <w:rsid w:val="004B75BC"/>
    <w:rsid w:val="004B7851"/>
    <w:rsid w:val="004B78F3"/>
    <w:rsid w:val="004B796B"/>
    <w:rsid w:val="004C0065"/>
    <w:rsid w:val="004C039B"/>
    <w:rsid w:val="004C04F2"/>
    <w:rsid w:val="004C10D6"/>
    <w:rsid w:val="004C12F1"/>
    <w:rsid w:val="004C1489"/>
    <w:rsid w:val="004C159F"/>
    <w:rsid w:val="004C17D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B0"/>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87C"/>
    <w:rsid w:val="004D2CF0"/>
    <w:rsid w:val="004D2FCA"/>
    <w:rsid w:val="004D30F8"/>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0CB"/>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05"/>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3E14"/>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A23"/>
    <w:rsid w:val="004F0F93"/>
    <w:rsid w:val="004F0FDC"/>
    <w:rsid w:val="004F14E3"/>
    <w:rsid w:val="004F17F6"/>
    <w:rsid w:val="004F1AE1"/>
    <w:rsid w:val="004F1F0C"/>
    <w:rsid w:val="004F23F9"/>
    <w:rsid w:val="004F2A5C"/>
    <w:rsid w:val="004F2C82"/>
    <w:rsid w:val="004F2D38"/>
    <w:rsid w:val="004F2FF7"/>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5C2"/>
    <w:rsid w:val="0051183E"/>
    <w:rsid w:val="005125C8"/>
    <w:rsid w:val="005125DD"/>
    <w:rsid w:val="0051266B"/>
    <w:rsid w:val="005127A4"/>
    <w:rsid w:val="00512AAB"/>
    <w:rsid w:val="00512BC3"/>
    <w:rsid w:val="00512DBB"/>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6A2"/>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143"/>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6E84"/>
    <w:rsid w:val="0052731E"/>
    <w:rsid w:val="00527415"/>
    <w:rsid w:val="0052770D"/>
    <w:rsid w:val="00527957"/>
    <w:rsid w:val="00527BF4"/>
    <w:rsid w:val="00527C39"/>
    <w:rsid w:val="00527E51"/>
    <w:rsid w:val="00527F5F"/>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4FB9"/>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3A00"/>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5DF"/>
    <w:rsid w:val="00562B3D"/>
    <w:rsid w:val="00563089"/>
    <w:rsid w:val="005634D7"/>
    <w:rsid w:val="0056371D"/>
    <w:rsid w:val="00563873"/>
    <w:rsid w:val="00563DBE"/>
    <w:rsid w:val="00563F2E"/>
    <w:rsid w:val="0056469D"/>
    <w:rsid w:val="005646BF"/>
    <w:rsid w:val="005648B1"/>
    <w:rsid w:val="00564EDA"/>
    <w:rsid w:val="005650FA"/>
    <w:rsid w:val="005652F2"/>
    <w:rsid w:val="00565303"/>
    <w:rsid w:val="00565531"/>
    <w:rsid w:val="00565745"/>
    <w:rsid w:val="00565812"/>
    <w:rsid w:val="00565943"/>
    <w:rsid w:val="00565B9B"/>
    <w:rsid w:val="005660A4"/>
    <w:rsid w:val="005660FF"/>
    <w:rsid w:val="005664BF"/>
    <w:rsid w:val="00566B94"/>
    <w:rsid w:val="00566C95"/>
    <w:rsid w:val="00566D70"/>
    <w:rsid w:val="00566E95"/>
    <w:rsid w:val="0056741D"/>
    <w:rsid w:val="00567817"/>
    <w:rsid w:val="0056791E"/>
    <w:rsid w:val="00567C94"/>
    <w:rsid w:val="00567EB3"/>
    <w:rsid w:val="005706F6"/>
    <w:rsid w:val="00570A28"/>
    <w:rsid w:val="00570BBC"/>
    <w:rsid w:val="00571352"/>
    <w:rsid w:val="00571473"/>
    <w:rsid w:val="00571558"/>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8D9"/>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6FE"/>
    <w:rsid w:val="005819DC"/>
    <w:rsid w:val="005824F6"/>
    <w:rsid w:val="0058254C"/>
    <w:rsid w:val="00582638"/>
    <w:rsid w:val="00582BD3"/>
    <w:rsid w:val="00582FFF"/>
    <w:rsid w:val="00583B50"/>
    <w:rsid w:val="00583D3A"/>
    <w:rsid w:val="00583D88"/>
    <w:rsid w:val="00583F77"/>
    <w:rsid w:val="00584C50"/>
    <w:rsid w:val="00584DB4"/>
    <w:rsid w:val="005850C2"/>
    <w:rsid w:val="00585293"/>
    <w:rsid w:val="00585344"/>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2F3"/>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0C8D"/>
    <w:rsid w:val="005A0D48"/>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7FD"/>
    <w:rsid w:val="005A488C"/>
    <w:rsid w:val="005A495C"/>
    <w:rsid w:val="005A528E"/>
    <w:rsid w:val="005A5317"/>
    <w:rsid w:val="005A5706"/>
    <w:rsid w:val="005A589A"/>
    <w:rsid w:val="005A5B67"/>
    <w:rsid w:val="005A5F83"/>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4BB"/>
    <w:rsid w:val="005B581C"/>
    <w:rsid w:val="005B5B2D"/>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7F"/>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1F1"/>
    <w:rsid w:val="006145DC"/>
    <w:rsid w:val="006148DF"/>
    <w:rsid w:val="006149E6"/>
    <w:rsid w:val="00615050"/>
    <w:rsid w:val="006150C6"/>
    <w:rsid w:val="00615149"/>
    <w:rsid w:val="006153F7"/>
    <w:rsid w:val="0061568F"/>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7BB"/>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DCA"/>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7AB"/>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6FD"/>
    <w:rsid w:val="00650771"/>
    <w:rsid w:val="00650B7A"/>
    <w:rsid w:val="006514A7"/>
    <w:rsid w:val="006518DC"/>
    <w:rsid w:val="00651AC7"/>
    <w:rsid w:val="00651D75"/>
    <w:rsid w:val="00651D95"/>
    <w:rsid w:val="00652142"/>
    <w:rsid w:val="00652364"/>
    <w:rsid w:val="00652373"/>
    <w:rsid w:val="0065283E"/>
    <w:rsid w:val="00652D71"/>
    <w:rsid w:val="00652EDA"/>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1E"/>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201"/>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3B"/>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42F"/>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3E5"/>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44"/>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1B4"/>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33"/>
    <w:rsid w:val="006B5C89"/>
    <w:rsid w:val="006B5D0C"/>
    <w:rsid w:val="006B5F1C"/>
    <w:rsid w:val="006B6067"/>
    <w:rsid w:val="006B6193"/>
    <w:rsid w:val="006B63DF"/>
    <w:rsid w:val="006B690F"/>
    <w:rsid w:val="006B706A"/>
    <w:rsid w:val="006B721C"/>
    <w:rsid w:val="006B747E"/>
    <w:rsid w:val="006B74FE"/>
    <w:rsid w:val="006B7786"/>
    <w:rsid w:val="006B7A65"/>
    <w:rsid w:val="006B7DDD"/>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036"/>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81B"/>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B8D"/>
    <w:rsid w:val="006D6DD5"/>
    <w:rsid w:val="006D6F44"/>
    <w:rsid w:val="006D701A"/>
    <w:rsid w:val="006D722D"/>
    <w:rsid w:val="006D7257"/>
    <w:rsid w:val="006D72FC"/>
    <w:rsid w:val="006D7B5A"/>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84D"/>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48"/>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9E1"/>
    <w:rsid w:val="006F3BE8"/>
    <w:rsid w:val="006F3C7D"/>
    <w:rsid w:val="006F407F"/>
    <w:rsid w:val="006F4191"/>
    <w:rsid w:val="006F42D6"/>
    <w:rsid w:val="006F446E"/>
    <w:rsid w:val="006F46A3"/>
    <w:rsid w:val="006F4775"/>
    <w:rsid w:val="006F5049"/>
    <w:rsid w:val="006F5075"/>
    <w:rsid w:val="006F51BE"/>
    <w:rsid w:val="006F5A06"/>
    <w:rsid w:val="006F5E9B"/>
    <w:rsid w:val="006F600A"/>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5BF"/>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300"/>
    <w:rsid w:val="00706679"/>
    <w:rsid w:val="00706BB1"/>
    <w:rsid w:val="00706C26"/>
    <w:rsid w:val="00706C87"/>
    <w:rsid w:val="00707064"/>
    <w:rsid w:val="00707081"/>
    <w:rsid w:val="007071B9"/>
    <w:rsid w:val="00707730"/>
    <w:rsid w:val="007077F0"/>
    <w:rsid w:val="00707B81"/>
    <w:rsid w:val="00707BE3"/>
    <w:rsid w:val="00707C69"/>
    <w:rsid w:val="00707D55"/>
    <w:rsid w:val="00710403"/>
    <w:rsid w:val="0071059F"/>
    <w:rsid w:val="007113C4"/>
    <w:rsid w:val="00711400"/>
    <w:rsid w:val="00711CBF"/>
    <w:rsid w:val="00712A5F"/>
    <w:rsid w:val="00712BE5"/>
    <w:rsid w:val="00712CB8"/>
    <w:rsid w:val="00712E4E"/>
    <w:rsid w:val="00712F5A"/>
    <w:rsid w:val="00712FA4"/>
    <w:rsid w:val="00713027"/>
    <w:rsid w:val="007131B0"/>
    <w:rsid w:val="007131B1"/>
    <w:rsid w:val="00713906"/>
    <w:rsid w:val="007139C6"/>
    <w:rsid w:val="00713A0C"/>
    <w:rsid w:val="00713DCE"/>
    <w:rsid w:val="00714238"/>
    <w:rsid w:val="00714666"/>
    <w:rsid w:val="00714767"/>
    <w:rsid w:val="00714A80"/>
    <w:rsid w:val="00714D5F"/>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831"/>
    <w:rsid w:val="00721991"/>
    <w:rsid w:val="00721D17"/>
    <w:rsid w:val="00722037"/>
    <w:rsid w:val="0072226D"/>
    <w:rsid w:val="007222CA"/>
    <w:rsid w:val="0072244A"/>
    <w:rsid w:val="007224D1"/>
    <w:rsid w:val="0072287C"/>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3BE"/>
    <w:rsid w:val="007354ED"/>
    <w:rsid w:val="007355A3"/>
    <w:rsid w:val="0073607E"/>
    <w:rsid w:val="00736264"/>
    <w:rsid w:val="00736586"/>
    <w:rsid w:val="007368E3"/>
    <w:rsid w:val="00736BDA"/>
    <w:rsid w:val="00736D6B"/>
    <w:rsid w:val="00737126"/>
    <w:rsid w:val="0073762D"/>
    <w:rsid w:val="007378BA"/>
    <w:rsid w:val="00737D46"/>
    <w:rsid w:val="00737E17"/>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86F"/>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386"/>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36C"/>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77D2E"/>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82"/>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56B"/>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9F9"/>
    <w:rsid w:val="007B7B5F"/>
    <w:rsid w:val="007B7D7C"/>
    <w:rsid w:val="007C00C7"/>
    <w:rsid w:val="007C00DB"/>
    <w:rsid w:val="007C0278"/>
    <w:rsid w:val="007C04FF"/>
    <w:rsid w:val="007C0A4E"/>
    <w:rsid w:val="007C0AB7"/>
    <w:rsid w:val="007C0BE3"/>
    <w:rsid w:val="007C0C1D"/>
    <w:rsid w:val="007C0DBF"/>
    <w:rsid w:val="007C11B3"/>
    <w:rsid w:val="007C1251"/>
    <w:rsid w:val="007C15A0"/>
    <w:rsid w:val="007C15C7"/>
    <w:rsid w:val="007C15EC"/>
    <w:rsid w:val="007C1786"/>
    <w:rsid w:val="007C180B"/>
    <w:rsid w:val="007C1816"/>
    <w:rsid w:val="007C1ABF"/>
    <w:rsid w:val="007C1F1C"/>
    <w:rsid w:val="007C2246"/>
    <w:rsid w:val="007C28EF"/>
    <w:rsid w:val="007C29DA"/>
    <w:rsid w:val="007C29F1"/>
    <w:rsid w:val="007C2D97"/>
    <w:rsid w:val="007C2F0B"/>
    <w:rsid w:val="007C31E4"/>
    <w:rsid w:val="007C369F"/>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07C"/>
    <w:rsid w:val="007D407E"/>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21E"/>
    <w:rsid w:val="007D7363"/>
    <w:rsid w:val="007D76F7"/>
    <w:rsid w:val="007D78B2"/>
    <w:rsid w:val="007D7969"/>
    <w:rsid w:val="007D7E43"/>
    <w:rsid w:val="007E003E"/>
    <w:rsid w:val="007E036F"/>
    <w:rsid w:val="007E0B07"/>
    <w:rsid w:val="007E1065"/>
    <w:rsid w:val="007E11ED"/>
    <w:rsid w:val="007E131B"/>
    <w:rsid w:val="007E158C"/>
    <w:rsid w:val="007E2280"/>
    <w:rsid w:val="007E2307"/>
    <w:rsid w:val="007E2488"/>
    <w:rsid w:val="007E28A5"/>
    <w:rsid w:val="007E2947"/>
    <w:rsid w:val="007E2A99"/>
    <w:rsid w:val="007E2BA0"/>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1AA"/>
    <w:rsid w:val="007E7543"/>
    <w:rsid w:val="007E7C78"/>
    <w:rsid w:val="007E7FA0"/>
    <w:rsid w:val="007E7FB6"/>
    <w:rsid w:val="007F0326"/>
    <w:rsid w:val="007F05F2"/>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399"/>
    <w:rsid w:val="007F5448"/>
    <w:rsid w:val="007F56BE"/>
    <w:rsid w:val="007F58E0"/>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79"/>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2B6"/>
    <w:rsid w:val="008124B9"/>
    <w:rsid w:val="00812C2A"/>
    <w:rsid w:val="00812D53"/>
    <w:rsid w:val="00812ED5"/>
    <w:rsid w:val="0081332D"/>
    <w:rsid w:val="0081371E"/>
    <w:rsid w:val="00813910"/>
    <w:rsid w:val="00813BFC"/>
    <w:rsid w:val="00814156"/>
    <w:rsid w:val="00814B9C"/>
    <w:rsid w:val="00814BB9"/>
    <w:rsid w:val="00814C6A"/>
    <w:rsid w:val="00815008"/>
    <w:rsid w:val="00815334"/>
    <w:rsid w:val="008155D6"/>
    <w:rsid w:val="00815907"/>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993"/>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186"/>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951"/>
    <w:rsid w:val="00847B51"/>
    <w:rsid w:val="00847C47"/>
    <w:rsid w:val="00847CF5"/>
    <w:rsid w:val="00847E24"/>
    <w:rsid w:val="00847F3C"/>
    <w:rsid w:val="00850198"/>
    <w:rsid w:val="008508C5"/>
    <w:rsid w:val="008508DF"/>
    <w:rsid w:val="00850B57"/>
    <w:rsid w:val="00850C4E"/>
    <w:rsid w:val="008511A9"/>
    <w:rsid w:val="00851207"/>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00C"/>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5BF0"/>
    <w:rsid w:val="00865CD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0E9D"/>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16C"/>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0E7F"/>
    <w:rsid w:val="00890EFC"/>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3E6B"/>
    <w:rsid w:val="008B4439"/>
    <w:rsid w:val="008B4871"/>
    <w:rsid w:val="008B4896"/>
    <w:rsid w:val="008B48C4"/>
    <w:rsid w:val="008B48FE"/>
    <w:rsid w:val="008B4986"/>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035"/>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29"/>
    <w:rsid w:val="008C5F5C"/>
    <w:rsid w:val="008C6176"/>
    <w:rsid w:val="008C6191"/>
    <w:rsid w:val="008C628E"/>
    <w:rsid w:val="008C64E7"/>
    <w:rsid w:val="008C67A8"/>
    <w:rsid w:val="008C6AD4"/>
    <w:rsid w:val="008C7231"/>
    <w:rsid w:val="008C7556"/>
    <w:rsid w:val="008C7707"/>
    <w:rsid w:val="008C7C7C"/>
    <w:rsid w:val="008C7D0D"/>
    <w:rsid w:val="008C7FDD"/>
    <w:rsid w:val="008D01B9"/>
    <w:rsid w:val="008D030B"/>
    <w:rsid w:val="008D0377"/>
    <w:rsid w:val="008D03AC"/>
    <w:rsid w:val="008D06B1"/>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01"/>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87"/>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3C60"/>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799"/>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D33"/>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84D"/>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4E7"/>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5E2"/>
    <w:rsid w:val="0093670A"/>
    <w:rsid w:val="009367F4"/>
    <w:rsid w:val="00936B7B"/>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9C"/>
    <w:rsid w:val="009440C8"/>
    <w:rsid w:val="009443DE"/>
    <w:rsid w:val="00944483"/>
    <w:rsid w:val="009445F6"/>
    <w:rsid w:val="00944777"/>
    <w:rsid w:val="00944D0F"/>
    <w:rsid w:val="0094528D"/>
    <w:rsid w:val="00945D92"/>
    <w:rsid w:val="00945E83"/>
    <w:rsid w:val="009461BD"/>
    <w:rsid w:val="00946298"/>
    <w:rsid w:val="00946323"/>
    <w:rsid w:val="009465A6"/>
    <w:rsid w:val="009466DC"/>
    <w:rsid w:val="00946A28"/>
    <w:rsid w:val="00946C02"/>
    <w:rsid w:val="00946E2D"/>
    <w:rsid w:val="0094719B"/>
    <w:rsid w:val="00947618"/>
    <w:rsid w:val="00947EA4"/>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7C"/>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FF0"/>
    <w:rsid w:val="009640E9"/>
    <w:rsid w:val="009640F3"/>
    <w:rsid w:val="00964371"/>
    <w:rsid w:val="00964514"/>
    <w:rsid w:val="00964605"/>
    <w:rsid w:val="009647E8"/>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7E0"/>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6F00"/>
    <w:rsid w:val="00977389"/>
    <w:rsid w:val="00977451"/>
    <w:rsid w:val="00977AB9"/>
    <w:rsid w:val="00977E87"/>
    <w:rsid w:val="0098050C"/>
    <w:rsid w:val="009808C9"/>
    <w:rsid w:val="00980C79"/>
    <w:rsid w:val="0098121B"/>
    <w:rsid w:val="00981303"/>
    <w:rsid w:val="00981674"/>
    <w:rsid w:val="00981790"/>
    <w:rsid w:val="0098196D"/>
    <w:rsid w:val="00982082"/>
    <w:rsid w:val="009825A2"/>
    <w:rsid w:val="009825AB"/>
    <w:rsid w:val="00982621"/>
    <w:rsid w:val="00982655"/>
    <w:rsid w:val="00982682"/>
    <w:rsid w:val="00982B90"/>
    <w:rsid w:val="0098324B"/>
    <w:rsid w:val="0098361A"/>
    <w:rsid w:val="00983665"/>
    <w:rsid w:val="009837AC"/>
    <w:rsid w:val="00983B40"/>
    <w:rsid w:val="00983BC0"/>
    <w:rsid w:val="00983EAF"/>
    <w:rsid w:val="00984002"/>
    <w:rsid w:val="009840FE"/>
    <w:rsid w:val="0098436C"/>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6D0"/>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1BBE"/>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7"/>
    <w:rsid w:val="009D34FF"/>
    <w:rsid w:val="009D362B"/>
    <w:rsid w:val="009D37AC"/>
    <w:rsid w:val="009D3A72"/>
    <w:rsid w:val="009D3BB5"/>
    <w:rsid w:val="009D3BBA"/>
    <w:rsid w:val="009D3C3C"/>
    <w:rsid w:val="009D3D28"/>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7AF"/>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AA0"/>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8ED"/>
    <w:rsid w:val="009F4973"/>
    <w:rsid w:val="009F4AB3"/>
    <w:rsid w:val="009F4B6A"/>
    <w:rsid w:val="009F4FE8"/>
    <w:rsid w:val="009F53E0"/>
    <w:rsid w:val="009F57D9"/>
    <w:rsid w:val="009F5E05"/>
    <w:rsid w:val="009F604F"/>
    <w:rsid w:val="009F639B"/>
    <w:rsid w:val="009F6450"/>
    <w:rsid w:val="009F66AA"/>
    <w:rsid w:val="009F68BD"/>
    <w:rsid w:val="009F6DD3"/>
    <w:rsid w:val="009F7072"/>
    <w:rsid w:val="009F76A7"/>
    <w:rsid w:val="009F7749"/>
    <w:rsid w:val="009F7945"/>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0DC3"/>
    <w:rsid w:val="00A11AB9"/>
    <w:rsid w:val="00A11DFF"/>
    <w:rsid w:val="00A1216F"/>
    <w:rsid w:val="00A12464"/>
    <w:rsid w:val="00A12549"/>
    <w:rsid w:val="00A1286E"/>
    <w:rsid w:val="00A12AA2"/>
    <w:rsid w:val="00A12BA0"/>
    <w:rsid w:val="00A12CEA"/>
    <w:rsid w:val="00A12DCA"/>
    <w:rsid w:val="00A12EF2"/>
    <w:rsid w:val="00A12FBE"/>
    <w:rsid w:val="00A12FD6"/>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3A"/>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03E"/>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307"/>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6B6"/>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BE9"/>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396"/>
    <w:rsid w:val="00A576EA"/>
    <w:rsid w:val="00A57A2E"/>
    <w:rsid w:val="00A57BD4"/>
    <w:rsid w:val="00A57F10"/>
    <w:rsid w:val="00A60103"/>
    <w:rsid w:val="00A6010D"/>
    <w:rsid w:val="00A6028E"/>
    <w:rsid w:val="00A60AA5"/>
    <w:rsid w:val="00A60BC5"/>
    <w:rsid w:val="00A60C80"/>
    <w:rsid w:val="00A60CF8"/>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4E8"/>
    <w:rsid w:val="00A70720"/>
    <w:rsid w:val="00A70B02"/>
    <w:rsid w:val="00A70C0C"/>
    <w:rsid w:val="00A70D70"/>
    <w:rsid w:val="00A7107A"/>
    <w:rsid w:val="00A71116"/>
    <w:rsid w:val="00A7123C"/>
    <w:rsid w:val="00A7140B"/>
    <w:rsid w:val="00A7178C"/>
    <w:rsid w:val="00A717A7"/>
    <w:rsid w:val="00A7184C"/>
    <w:rsid w:val="00A718BA"/>
    <w:rsid w:val="00A71AEC"/>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4FA6"/>
    <w:rsid w:val="00A75C3B"/>
    <w:rsid w:val="00A75D82"/>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A03"/>
    <w:rsid w:val="00A95C22"/>
    <w:rsid w:val="00A95DF3"/>
    <w:rsid w:val="00A9618F"/>
    <w:rsid w:val="00A9622D"/>
    <w:rsid w:val="00A96548"/>
    <w:rsid w:val="00A967EC"/>
    <w:rsid w:val="00A969C4"/>
    <w:rsid w:val="00A969DD"/>
    <w:rsid w:val="00A96D4B"/>
    <w:rsid w:val="00A96F40"/>
    <w:rsid w:val="00A972B9"/>
    <w:rsid w:val="00A979A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93"/>
    <w:rsid w:val="00AA559F"/>
    <w:rsid w:val="00AA55DB"/>
    <w:rsid w:val="00AA6031"/>
    <w:rsid w:val="00AA6302"/>
    <w:rsid w:val="00AA6DA9"/>
    <w:rsid w:val="00AA6DF7"/>
    <w:rsid w:val="00AA6FF9"/>
    <w:rsid w:val="00AA70B0"/>
    <w:rsid w:val="00AA73D2"/>
    <w:rsid w:val="00AA74EC"/>
    <w:rsid w:val="00AA76B4"/>
    <w:rsid w:val="00AB05AE"/>
    <w:rsid w:val="00AB07BD"/>
    <w:rsid w:val="00AB092E"/>
    <w:rsid w:val="00AB0C2C"/>
    <w:rsid w:val="00AB152F"/>
    <w:rsid w:val="00AB20D6"/>
    <w:rsid w:val="00AB21BC"/>
    <w:rsid w:val="00AB28D8"/>
    <w:rsid w:val="00AB2918"/>
    <w:rsid w:val="00AB2BF3"/>
    <w:rsid w:val="00AB31EB"/>
    <w:rsid w:val="00AB32E3"/>
    <w:rsid w:val="00AB3629"/>
    <w:rsid w:val="00AB3BB1"/>
    <w:rsid w:val="00AB3BDC"/>
    <w:rsid w:val="00AB3E37"/>
    <w:rsid w:val="00AB3F8A"/>
    <w:rsid w:val="00AB4187"/>
    <w:rsid w:val="00AB47B0"/>
    <w:rsid w:val="00AB4825"/>
    <w:rsid w:val="00AB4A84"/>
    <w:rsid w:val="00AB4C84"/>
    <w:rsid w:val="00AB4C9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237"/>
    <w:rsid w:val="00AC4313"/>
    <w:rsid w:val="00AC43C2"/>
    <w:rsid w:val="00AC4AC8"/>
    <w:rsid w:val="00AC4D73"/>
    <w:rsid w:val="00AC4F17"/>
    <w:rsid w:val="00AC5060"/>
    <w:rsid w:val="00AC50ED"/>
    <w:rsid w:val="00AC542C"/>
    <w:rsid w:val="00AC5504"/>
    <w:rsid w:val="00AC5A55"/>
    <w:rsid w:val="00AC5E09"/>
    <w:rsid w:val="00AC5E96"/>
    <w:rsid w:val="00AC5F0C"/>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6D6"/>
    <w:rsid w:val="00AD2737"/>
    <w:rsid w:val="00AD2803"/>
    <w:rsid w:val="00AD28B2"/>
    <w:rsid w:val="00AD2DDA"/>
    <w:rsid w:val="00AD31E4"/>
    <w:rsid w:val="00AD322A"/>
    <w:rsid w:val="00AD33A2"/>
    <w:rsid w:val="00AD3618"/>
    <w:rsid w:val="00AD3ABB"/>
    <w:rsid w:val="00AD3B94"/>
    <w:rsid w:val="00AD3FDA"/>
    <w:rsid w:val="00AD4A68"/>
    <w:rsid w:val="00AD4FAD"/>
    <w:rsid w:val="00AD5297"/>
    <w:rsid w:val="00AD530D"/>
    <w:rsid w:val="00AD5554"/>
    <w:rsid w:val="00AD5630"/>
    <w:rsid w:val="00AD5A0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ED"/>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27A"/>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CD9"/>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18"/>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20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05"/>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51F"/>
    <w:rsid w:val="00B5082A"/>
    <w:rsid w:val="00B50902"/>
    <w:rsid w:val="00B50EF4"/>
    <w:rsid w:val="00B51374"/>
    <w:rsid w:val="00B51635"/>
    <w:rsid w:val="00B516AB"/>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5F8C"/>
    <w:rsid w:val="00B5605E"/>
    <w:rsid w:val="00B56335"/>
    <w:rsid w:val="00B56691"/>
    <w:rsid w:val="00B569EE"/>
    <w:rsid w:val="00B56B46"/>
    <w:rsid w:val="00B5724E"/>
    <w:rsid w:val="00B57437"/>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4EC3"/>
    <w:rsid w:val="00B65685"/>
    <w:rsid w:val="00B65AA2"/>
    <w:rsid w:val="00B65BE1"/>
    <w:rsid w:val="00B65D5D"/>
    <w:rsid w:val="00B65DB8"/>
    <w:rsid w:val="00B664F8"/>
    <w:rsid w:val="00B666B4"/>
    <w:rsid w:val="00B66A47"/>
    <w:rsid w:val="00B66A64"/>
    <w:rsid w:val="00B66DD5"/>
    <w:rsid w:val="00B6703A"/>
    <w:rsid w:val="00B67047"/>
    <w:rsid w:val="00B6722D"/>
    <w:rsid w:val="00B672ED"/>
    <w:rsid w:val="00B67ACC"/>
    <w:rsid w:val="00B702A1"/>
    <w:rsid w:val="00B70411"/>
    <w:rsid w:val="00B704CB"/>
    <w:rsid w:val="00B707F3"/>
    <w:rsid w:val="00B710EC"/>
    <w:rsid w:val="00B712C8"/>
    <w:rsid w:val="00B7195D"/>
    <w:rsid w:val="00B71B36"/>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975"/>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DE8"/>
    <w:rsid w:val="00B86F6A"/>
    <w:rsid w:val="00B871CB"/>
    <w:rsid w:val="00B87D04"/>
    <w:rsid w:val="00B900CE"/>
    <w:rsid w:val="00B90938"/>
    <w:rsid w:val="00B90EB8"/>
    <w:rsid w:val="00B912D7"/>
    <w:rsid w:val="00B9141B"/>
    <w:rsid w:val="00B918AD"/>
    <w:rsid w:val="00B91AEF"/>
    <w:rsid w:val="00B91B3B"/>
    <w:rsid w:val="00B91B6F"/>
    <w:rsid w:val="00B91E3C"/>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875"/>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A32"/>
    <w:rsid w:val="00B95DCC"/>
    <w:rsid w:val="00B962EA"/>
    <w:rsid w:val="00B96595"/>
    <w:rsid w:val="00B96599"/>
    <w:rsid w:val="00B968A6"/>
    <w:rsid w:val="00B969D8"/>
    <w:rsid w:val="00B96BC0"/>
    <w:rsid w:val="00B96BD9"/>
    <w:rsid w:val="00B96E48"/>
    <w:rsid w:val="00B96F01"/>
    <w:rsid w:val="00B96F90"/>
    <w:rsid w:val="00B97153"/>
    <w:rsid w:val="00B972D1"/>
    <w:rsid w:val="00B97660"/>
    <w:rsid w:val="00B97F7A"/>
    <w:rsid w:val="00BA0217"/>
    <w:rsid w:val="00BA030D"/>
    <w:rsid w:val="00BA0421"/>
    <w:rsid w:val="00BA0502"/>
    <w:rsid w:val="00BA0A4F"/>
    <w:rsid w:val="00BA0F6D"/>
    <w:rsid w:val="00BA0FA2"/>
    <w:rsid w:val="00BA109A"/>
    <w:rsid w:val="00BA110D"/>
    <w:rsid w:val="00BA1715"/>
    <w:rsid w:val="00BA18E9"/>
    <w:rsid w:val="00BA1CA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01C"/>
    <w:rsid w:val="00BB5469"/>
    <w:rsid w:val="00BB5613"/>
    <w:rsid w:val="00BB5B06"/>
    <w:rsid w:val="00BB5D77"/>
    <w:rsid w:val="00BB6535"/>
    <w:rsid w:val="00BB69AE"/>
    <w:rsid w:val="00BB69B0"/>
    <w:rsid w:val="00BB6A53"/>
    <w:rsid w:val="00BB6AD5"/>
    <w:rsid w:val="00BB6CAC"/>
    <w:rsid w:val="00BB6D96"/>
    <w:rsid w:val="00BB70CA"/>
    <w:rsid w:val="00BB72BE"/>
    <w:rsid w:val="00BB773E"/>
    <w:rsid w:val="00BB798B"/>
    <w:rsid w:val="00BB7DFB"/>
    <w:rsid w:val="00BC0161"/>
    <w:rsid w:val="00BC0347"/>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9E"/>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04C"/>
    <w:rsid w:val="00BF63A7"/>
    <w:rsid w:val="00BF66C6"/>
    <w:rsid w:val="00BF67FC"/>
    <w:rsid w:val="00BF692A"/>
    <w:rsid w:val="00BF6E43"/>
    <w:rsid w:val="00BF7456"/>
    <w:rsid w:val="00BF745F"/>
    <w:rsid w:val="00BF7467"/>
    <w:rsid w:val="00BF7985"/>
    <w:rsid w:val="00C006B3"/>
    <w:rsid w:val="00C00E0B"/>
    <w:rsid w:val="00C00F8B"/>
    <w:rsid w:val="00C0114C"/>
    <w:rsid w:val="00C01582"/>
    <w:rsid w:val="00C017C3"/>
    <w:rsid w:val="00C01B4E"/>
    <w:rsid w:val="00C01D7E"/>
    <w:rsid w:val="00C01E45"/>
    <w:rsid w:val="00C02026"/>
    <w:rsid w:val="00C0209F"/>
    <w:rsid w:val="00C02166"/>
    <w:rsid w:val="00C0223E"/>
    <w:rsid w:val="00C028C2"/>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55D"/>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3"/>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21B"/>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B"/>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865"/>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8EE"/>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3D82"/>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4D"/>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05"/>
    <w:rsid w:val="00CB71A6"/>
    <w:rsid w:val="00CB7305"/>
    <w:rsid w:val="00CB7552"/>
    <w:rsid w:val="00CB761D"/>
    <w:rsid w:val="00CB77EF"/>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01D"/>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CB6"/>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1455"/>
    <w:rsid w:val="00CF28FA"/>
    <w:rsid w:val="00CF29DC"/>
    <w:rsid w:val="00CF2D17"/>
    <w:rsid w:val="00CF2DC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BA7"/>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83F"/>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7C9"/>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4E38"/>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50B"/>
    <w:rsid w:val="00D25B0B"/>
    <w:rsid w:val="00D25B6B"/>
    <w:rsid w:val="00D25DB0"/>
    <w:rsid w:val="00D25EF4"/>
    <w:rsid w:val="00D25FDD"/>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EE3"/>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3B2"/>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0D"/>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575"/>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188"/>
    <w:rsid w:val="00D7556A"/>
    <w:rsid w:val="00D7590D"/>
    <w:rsid w:val="00D75C8E"/>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0C6"/>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65"/>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B82"/>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6BC"/>
    <w:rsid w:val="00DA273E"/>
    <w:rsid w:val="00DA3092"/>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23F"/>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21A"/>
    <w:rsid w:val="00DB175A"/>
    <w:rsid w:val="00DB1896"/>
    <w:rsid w:val="00DB1975"/>
    <w:rsid w:val="00DB1BCF"/>
    <w:rsid w:val="00DB1D25"/>
    <w:rsid w:val="00DB2300"/>
    <w:rsid w:val="00DB2834"/>
    <w:rsid w:val="00DB2AB7"/>
    <w:rsid w:val="00DB2E71"/>
    <w:rsid w:val="00DB2E90"/>
    <w:rsid w:val="00DB3401"/>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6DBA"/>
    <w:rsid w:val="00DC7503"/>
    <w:rsid w:val="00DC771F"/>
    <w:rsid w:val="00DC78FA"/>
    <w:rsid w:val="00DC791C"/>
    <w:rsid w:val="00DC799B"/>
    <w:rsid w:val="00DC7B6E"/>
    <w:rsid w:val="00DC7C24"/>
    <w:rsid w:val="00DC7DDE"/>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482"/>
    <w:rsid w:val="00DD5535"/>
    <w:rsid w:val="00DD5676"/>
    <w:rsid w:val="00DD5984"/>
    <w:rsid w:val="00DD5A2E"/>
    <w:rsid w:val="00DD5C35"/>
    <w:rsid w:val="00DD6039"/>
    <w:rsid w:val="00DD6A13"/>
    <w:rsid w:val="00DD6AC8"/>
    <w:rsid w:val="00DD7083"/>
    <w:rsid w:val="00DD70D1"/>
    <w:rsid w:val="00DD7283"/>
    <w:rsid w:val="00DD7A02"/>
    <w:rsid w:val="00DD7C3F"/>
    <w:rsid w:val="00DD7F1E"/>
    <w:rsid w:val="00DE002A"/>
    <w:rsid w:val="00DE024F"/>
    <w:rsid w:val="00DE0293"/>
    <w:rsid w:val="00DE084C"/>
    <w:rsid w:val="00DE0B73"/>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17"/>
    <w:rsid w:val="00DF065A"/>
    <w:rsid w:val="00DF074D"/>
    <w:rsid w:val="00DF082A"/>
    <w:rsid w:val="00DF09FF"/>
    <w:rsid w:val="00DF0D3B"/>
    <w:rsid w:val="00DF0F9F"/>
    <w:rsid w:val="00DF10BE"/>
    <w:rsid w:val="00DF156E"/>
    <w:rsid w:val="00DF16F7"/>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874"/>
    <w:rsid w:val="00DF494B"/>
    <w:rsid w:val="00DF4A89"/>
    <w:rsid w:val="00DF4AA2"/>
    <w:rsid w:val="00DF4F98"/>
    <w:rsid w:val="00DF5354"/>
    <w:rsid w:val="00DF5623"/>
    <w:rsid w:val="00DF575F"/>
    <w:rsid w:val="00DF599A"/>
    <w:rsid w:val="00DF5C8A"/>
    <w:rsid w:val="00DF5D51"/>
    <w:rsid w:val="00DF5F3E"/>
    <w:rsid w:val="00DF62D5"/>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4C03"/>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26A"/>
    <w:rsid w:val="00E223EA"/>
    <w:rsid w:val="00E22A9B"/>
    <w:rsid w:val="00E22C49"/>
    <w:rsid w:val="00E22D67"/>
    <w:rsid w:val="00E23110"/>
    <w:rsid w:val="00E23210"/>
    <w:rsid w:val="00E2370D"/>
    <w:rsid w:val="00E238A5"/>
    <w:rsid w:val="00E23A4C"/>
    <w:rsid w:val="00E23D6C"/>
    <w:rsid w:val="00E23E9C"/>
    <w:rsid w:val="00E23F3A"/>
    <w:rsid w:val="00E24231"/>
    <w:rsid w:val="00E242D4"/>
    <w:rsid w:val="00E24393"/>
    <w:rsid w:val="00E2448D"/>
    <w:rsid w:val="00E24AD1"/>
    <w:rsid w:val="00E24CD0"/>
    <w:rsid w:val="00E24EB0"/>
    <w:rsid w:val="00E25099"/>
    <w:rsid w:val="00E25575"/>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6F38"/>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2D34"/>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4D2"/>
    <w:rsid w:val="00E52832"/>
    <w:rsid w:val="00E528AA"/>
    <w:rsid w:val="00E52A18"/>
    <w:rsid w:val="00E52A2C"/>
    <w:rsid w:val="00E53027"/>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C42"/>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DE8"/>
    <w:rsid w:val="00E57E67"/>
    <w:rsid w:val="00E600FA"/>
    <w:rsid w:val="00E6036D"/>
    <w:rsid w:val="00E6057E"/>
    <w:rsid w:val="00E605BD"/>
    <w:rsid w:val="00E60686"/>
    <w:rsid w:val="00E610A6"/>
    <w:rsid w:val="00E611BE"/>
    <w:rsid w:val="00E61441"/>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708"/>
    <w:rsid w:val="00E64BDB"/>
    <w:rsid w:val="00E64E54"/>
    <w:rsid w:val="00E64FE3"/>
    <w:rsid w:val="00E64FF2"/>
    <w:rsid w:val="00E65268"/>
    <w:rsid w:val="00E654CB"/>
    <w:rsid w:val="00E65594"/>
    <w:rsid w:val="00E655BF"/>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796"/>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6A33"/>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98A"/>
    <w:rsid w:val="00E83A58"/>
    <w:rsid w:val="00E84040"/>
    <w:rsid w:val="00E84211"/>
    <w:rsid w:val="00E84385"/>
    <w:rsid w:val="00E8445E"/>
    <w:rsid w:val="00E845AE"/>
    <w:rsid w:val="00E847CE"/>
    <w:rsid w:val="00E84856"/>
    <w:rsid w:val="00E8497F"/>
    <w:rsid w:val="00E849F1"/>
    <w:rsid w:val="00E84F61"/>
    <w:rsid w:val="00E852B4"/>
    <w:rsid w:val="00E85653"/>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B7C"/>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7C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2A3"/>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A3D"/>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A7"/>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17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3F13"/>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E8B"/>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5DC9"/>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A99"/>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30"/>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65C"/>
    <w:rsid w:val="00F16907"/>
    <w:rsid w:val="00F16936"/>
    <w:rsid w:val="00F1693B"/>
    <w:rsid w:val="00F16B3F"/>
    <w:rsid w:val="00F16C5B"/>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46"/>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1D9"/>
    <w:rsid w:val="00F4355A"/>
    <w:rsid w:val="00F43922"/>
    <w:rsid w:val="00F43A57"/>
    <w:rsid w:val="00F43D51"/>
    <w:rsid w:val="00F43EFF"/>
    <w:rsid w:val="00F43FB4"/>
    <w:rsid w:val="00F44146"/>
    <w:rsid w:val="00F44397"/>
    <w:rsid w:val="00F44474"/>
    <w:rsid w:val="00F444DF"/>
    <w:rsid w:val="00F447BD"/>
    <w:rsid w:val="00F4495E"/>
    <w:rsid w:val="00F451E2"/>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465"/>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75B"/>
    <w:rsid w:val="00F75826"/>
    <w:rsid w:val="00F75C77"/>
    <w:rsid w:val="00F76078"/>
    <w:rsid w:val="00F76103"/>
    <w:rsid w:val="00F7612E"/>
    <w:rsid w:val="00F76581"/>
    <w:rsid w:val="00F76628"/>
    <w:rsid w:val="00F76754"/>
    <w:rsid w:val="00F767EC"/>
    <w:rsid w:val="00F76864"/>
    <w:rsid w:val="00F768CD"/>
    <w:rsid w:val="00F76961"/>
    <w:rsid w:val="00F76B01"/>
    <w:rsid w:val="00F76F86"/>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AAF"/>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559"/>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AEB"/>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205"/>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689311"/>
  <w15:docId w15:val="{3BDF33DE-93B7-474A-8D26-1C818E67E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link w:val="THChar"/>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style>
  <w:style w:type="paragraph" w:customStyle="1" w:styleId="EW">
    <w:name w:val="EW"/>
    <w:basedOn w:val="EX"/>
    <w:semiHidden/>
    <w:rsid w:val="00B40E91"/>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uiPriority w:val="22"/>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qFormat/>
    <w:rsid w:val="006E06DB"/>
    <w:pPr>
      <w:numPr>
        <w:numId w:val="15"/>
      </w:numPr>
      <w:spacing w:before="60"/>
    </w:pPr>
    <w:rPr>
      <w:rFonts w:ascii="Arial" w:hAnsi="Arial"/>
      <w:b/>
      <w:sz w:val="20"/>
      <w:szCs w:val="24"/>
      <w:lang w:eastAsia="en-GB"/>
    </w:rPr>
  </w:style>
  <w:style w:type="character" w:customStyle="1" w:styleId="TFChar">
    <w:name w:val="TF Char"/>
    <w:link w:val="TF"/>
    <w:qFormat/>
    <w:rsid w:val="00BF1310"/>
    <w:rPr>
      <w:rFonts w:ascii="Arial" w:hAnsi="Arial"/>
      <w:b/>
      <w:sz w:val="22"/>
      <w:lang w:val="en-GB" w:eastAsia="en-US"/>
    </w:rPr>
  </w:style>
  <w:style w:type="character" w:customStyle="1" w:styleId="THChar">
    <w:name w:val="TH Char"/>
    <w:link w:val="TH"/>
    <w:qFormat/>
    <w:rsid w:val="00820993"/>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55945533">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1140845">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298246">
      <w:bodyDiv w:val="1"/>
      <w:marLeft w:val="0"/>
      <w:marRight w:val="0"/>
      <w:marTop w:val="0"/>
      <w:marBottom w:val="0"/>
      <w:divBdr>
        <w:top w:val="none" w:sz="0" w:space="0" w:color="auto"/>
        <w:left w:val="none" w:sz="0" w:space="0" w:color="auto"/>
        <w:bottom w:val="none" w:sz="0" w:space="0" w:color="auto"/>
        <w:right w:val="none" w:sz="0" w:space="0" w:color="auto"/>
      </w:divBdr>
    </w:div>
    <w:div w:id="1653440300">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00978893">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71</TotalTime>
  <Pages>1</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dc:description/>
  <cp:lastModifiedBy>Futurewei</cp:lastModifiedBy>
  <cp:revision>10</cp:revision>
  <cp:lastPrinted>2019-10-03T15:30:00Z</cp:lastPrinted>
  <dcterms:created xsi:type="dcterms:W3CDTF">2022-02-14T22:36:00Z</dcterms:created>
  <dcterms:modified xsi:type="dcterms:W3CDTF">2022-02-14T23:52:00Z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